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4010"/>
        <w:gridCol w:w="670"/>
        <w:gridCol w:w="3597"/>
        <w:gridCol w:w="963"/>
      </w:tblGrid>
      <w:tr>
        <w:trPr>
          <w:trHeight w:val="930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424458" cy="590551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424458" cy="59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9"/>
              <w:gridCol w:w="3443"/>
              <w:gridCol w:w="3159"/>
            </w:tblGrid>
            <w:tr>
              <w:trPr>
                <w:trHeight w:val="40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УКРАЇНА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ДУНАЄВЕЦЬКА МІСЬКА РАДА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88" w:hRule="atLeast"/>
              </w:trPr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"___" _____________ 20__ р.</w:t>
                  </w:r>
                </w:p>
              </w:tc>
              <w:tc>
                <w:tcPr>
                  <w:tcW w:w="344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№_________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17.08.2023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1. Звіт про виконання фінансового плану комунального некомерційного підприємства «Дунаєвецький центр первинної медико-санітарної допомоги» Дунаєвецької міської ради за І півріччя 2023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2. Звіт   про     виконання    фінансового  плану комунального  некомерційного підприємства  Дунаєвецької міської ради  «Дунаєвецька багатопрофільна  лікарня» за  І півріччя 2023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3. Про управління комунальним майном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4. Про дострокове розірвання договору оренди нерухомого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5. Про затвердження Стратегій розвитку закладів загальної середньої освіти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6. Про оптимізацію Нестеровецького ліцею Дунаєвецької міської ради Хмельницької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7. Про призначення іменних стипендій  для обдарованих дітей та молоді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8. Про затвердження списку присяжних Дунаєвецького районного суду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9. Про розроблення детального плану території за межами населеного пункту с.Голозубинці, Кам’янець-Подільського району, Хмельницької області для зміни цільового призначення земельної ділянки для містобудівних потреб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10. Про розроблення детального плану території частини кварталу вулиць Центральна та Шкільна у с. Лисець для проведення реконструкції магазину та зміни цільового призначення земельної ділянки по вул. Центральна, 37, с. Лисець, Кам’янець-Подільського району Хмельницької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11. Про припинення права постійного користування земельною ділянкою  управлінню виконавчої дирекції  Фонду соціального страхування  України в Хмельницькій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12. Про припинення права користування земельними ділянками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13. Про передачу громадянам безоплатно  у власність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14. Про виділення в  натурі (на місцевості) земельних ділянок громадянам  для  ведення товарного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15. Про надання дозволів на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16. Про надання дозволів на розроблення документації із землеустрою щодо  встановлення (відновлення) меж  земельної  ділянки (земельної  частки  (паю)  в  натурі  (на місцевості)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17. Про продаж земельної ділянки площею  0,0042 га Матковській Валентині Станіславівні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18. Про продаж земельної ділянки площею  0,0151 га  Огородніку Віктору Олександровичу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19. Про  затвердження  проекту землеустрою  та зміну цільового призначення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20. Про припинення договору оренди землі, затвердження документації із землеустрою та передачу в оренду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21. Про затвердження технічної  документації з нормативної  грошової оцінки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22. Про припинення договору оренди та передачу в оренду земельної ділянки  ТОВ «Юкрейн Тауер Компані»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23. Про проведення експертної грошової оцінки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24. Про розроблення  документації 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25. Про затвердження проектів землеустрою та передачу в постійне користування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26. Про затвердження технічної документації  із землеустрою щодо інвентаризації  земельної ділянки та внесення змін до договору  оренди землі №538 від 27.10.2022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27. Про затвердження проектів землеустрою  щодо  відведення  земельних  ділянок  та передачу   в   оренду  земельних ділянок  акціонерному товариству  «Хмельницькобленерго»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28. Про надання у постійне користування Кривчицькому психоневрологічному інтернату земельної ділянки площею 2,3504 га для ведення товарного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29. Про надання у постійне користування Кривчицькому психоневрологічному інтернату земельної ділянки площею 7,8195 га для ведення товарного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30. Про внесення змін до Програми  «Безпечна громада» на 2021 – 2025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31. Про внесення змін до міського бюджету на 2023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Осадчук Г.В.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768"/>
      <w:gridCol w:w="159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798"/>
          </w:tblGrid>
          <w:tr>
            <w:trPr>
              <w:trHeight w:val="1015" w:hRule="exact"/>
            </w:trPr>
            <w:tc>
              <w:tcPr>
                <w:tcW w:w="8798" w:type="dxa"/>
                <w:tcBorders>
                  <w:top w:val="double" w:color="696969" w:sz="3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t xml:space="preserve">Шевченка 50, Дунаївці, Дунаєвецький р-н, Хмельницька обл., 32400, Україна</w:t>
                </w: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br/>
                  <w:t xml:space="preserve">Телефони: (068) 293-3984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768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