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EC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CD6289" wp14:editId="4F49F41D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проект </w:t>
      </w:r>
      <w:r w:rsidRPr="0025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75C74" w:rsidRPr="00250ECD" w:rsidRDefault="00275C74" w:rsidP="0027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C74" w:rsidRPr="00250ECD" w:rsidRDefault="00275C74" w:rsidP="00275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50E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           </w:t>
      </w:r>
      <w:r w:rsidRPr="0025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5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250E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</w:t>
      </w:r>
    </w:p>
    <w:p w:rsidR="00275C74" w:rsidRPr="00250ECD" w:rsidRDefault="00275C74" w:rsidP="00275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5C74" w:rsidRPr="00250ECD" w:rsidRDefault="00275C74" w:rsidP="00B5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="00B5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орядку</w:t>
      </w:r>
      <w:r w:rsidR="00B57A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</w:t>
      </w:r>
    </w:p>
    <w:p w:rsidR="00275C74" w:rsidRPr="00250ECD" w:rsidRDefault="00275C74" w:rsidP="0027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еруючись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рекламу», «Про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дозвільну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29.12.2003 № 2067 «Про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зовнішньої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виконавчий комітет міської ради </w:t>
      </w:r>
    </w:p>
    <w:p w:rsidR="00275C74" w:rsidRPr="00250ECD" w:rsidRDefault="00275C74" w:rsidP="00275C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275C74" w:rsidRPr="00250ECD" w:rsidRDefault="00275C74" w:rsidP="00275C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Затвердити </w:t>
      </w:r>
      <w:r w:rsidR="0056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649C4"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оряд</w:t>
      </w:r>
      <w:r w:rsidR="0056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56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="005649C4"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="005649C4"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</w:t>
      </w: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(додається).</w:t>
      </w:r>
    </w:p>
    <w:p w:rsidR="00275C74" w:rsidRPr="00250ECD" w:rsidRDefault="00275C74" w:rsidP="00275C7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5649C4" w:rsidRDefault="00275C74" w:rsidP="00275C74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ішення 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сесії </w:t>
      </w:r>
      <w:proofErr w:type="spellStart"/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Дунавецької</w:t>
      </w:r>
      <w:proofErr w:type="spellEnd"/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05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</w:t>
      </w: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5-39/2017</w:t>
      </w:r>
      <w:r w:rsidRP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649C4" w:rsidRPr="00C3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6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визначення розміру платежів за користування місцями, що перебувають в комунальній власності територіальної громади міста, для розміщення рекламних засобів</w:t>
      </w:r>
      <w:r w:rsidR="00C333E8" w:rsidRPr="00C3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649C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649C4" w:rsidRPr="005649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49C4"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вважати таким, що втратило чинність</w:t>
      </w:r>
      <w:r w:rsidR="00C33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5C74" w:rsidRPr="005649C4" w:rsidRDefault="00275C74" w:rsidP="00275C7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275C74" w:rsidRPr="00250ECD" w:rsidRDefault="00275C74" w:rsidP="00275C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C333E8" w:rsidP="00C333E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3. </w:t>
      </w:r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виконанням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даного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ішення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покласти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заступника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міського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голови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питань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виконавчих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органів</w:t>
      </w:r>
      <w:proofErr w:type="spellEnd"/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 </w:t>
      </w:r>
      <w:r w:rsidR="00275C74" w:rsidRPr="00250EC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Сергія Яценка</w:t>
      </w:r>
      <w:r w:rsidR="00275C74" w:rsidRPr="00250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C74" w:rsidRPr="00250ECD" w:rsidRDefault="00275C74" w:rsidP="00275C74">
      <w:pPr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C74" w:rsidRPr="00250ECD" w:rsidRDefault="00275C74" w:rsidP="00275C74">
      <w:pPr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    </w:t>
      </w:r>
      <w:proofErr w:type="spellStart"/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Веліна</w:t>
      </w:r>
      <w:proofErr w:type="spellEnd"/>
      <w:r w:rsidRPr="0025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ЗАЯЦЬ</w:t>
      </w:r>
    </w:p>
    <w:p w:rsidR="00275C74" w:rsidRDefault="00275C74" w:rsidP="0047343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75C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504" w:rsidRDefault="007C7504" w:rsidP="007C7504">
      <w:pPr>
        <w:pStyle w:val="a6"/>
        <w:ind w:firstLine="482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C4172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</w:t>
      </w:r>
    </w:p>
    <w:p w:rsidR="007C7504" w:rsidRDefault="007C7504" w:rsidP="007C7504">
      <w:pPr>
        <w:pStyle w:val="a6"/>
        <w:ind w:firstLine="482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C4172">
        <w:rPr>
          <w:rFonts w:ascii="Times New Roman" w:hAnsi="Times New Roman" w:cs="Times New Roman"/>
          <w:sz w:val="20"/>
          <w:szCs w:val="20"/>
          <w:lang w:val="uk-UA"/>
        </w:rPr>
        <w:t>до рішення виконавчого комітету</w:t>
      </w:r>
    </w:p>
    <w:p w:rsidR="007C7504" w:rsidRDefault="007C7504" w:rsidP="007C7504">
      <w:pPr>
        <w:pStyle w:val="a6"/>
        <w:ind w:firstLine="482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міської ради</w:t>
      </w:r>
      <w:r w:rsidRPr="004C4172">
        <w:rPr>
          <w:rFonts w:ascii="Times New Roman" w:hAnsi="Times New Roman" w:cs="Times New Roman"/>
          <w:sz w:val="20"/>
          <w:szCs w:val="20"/>
          <w:lang w:val="uk-UA"/>
        </w:rPr>
        <w:t xml:space="preserve"> №___ від ________2023 року</w:t>
      </w:r>
    </w:p>
    <w:p w:rsidR="007C7504" w:rsidRDefault="007C7504" w:rsidP="004734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BB6" w:rsidRPr="007C7504" w:rsidRDefault="005A2574" w:rsidP="004734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7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оплати та визначення розміру плати за тимчасове користування місцями для розміщення об’єктів зовнішньої реклами, які перебувають у комунальній власності </w:t>
      </w:r>
      <w:proofErr w:type="spellStart"/>
      <w:r w:rsidRPr="007C7504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7C7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</w:p>
    <w:p w:rsidR="005A2574" w:rsidRPr="005A2574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</w:pP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1.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плати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місцями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які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перебувають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комунальній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власності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та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надаються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розповсюджувачам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для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розташування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спеціальних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конструкцій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(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далі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плати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)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визначається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виходячи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</w:t>
      </w:r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економічної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оцінки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території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міста</w:t>
      </w:r>
      <w:proofErr w:type="spellEnd"/>
      <w:r w:rsidRPr="005A25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en-US"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Територія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міста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val="uk-UA" w:eastAsia="ru-RU"/>
        </w:rPr>
        <w:t>Дунаївці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умовно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поділяється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на </w:t>
      </w:r>
      <w:r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val="uk-UA" w:eastAsia="ru-RU"/>
        </w:rPr>
        <w:t>вісім</w:t>
      </w:r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укрупнен</w:t>
      </w:r>
      <w:proofErr w:type="spellStart"/>
      <w:r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val="uk-UA" w:eastAsia="ru-RU"/>
        </w:rPr>
        <w:t>их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економіко-планувальні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зони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межі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яких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визначені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у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наступних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 xml:space="preserve"> межах:</w:t>
      </w:r>
      <w:proofErr w:type="gramEnd"/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7903"/>
      </w:tblGrid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Зони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Межі</w:t>
            </w:r>
            <w:proofErr w:type="spellEnd"/>
          </w:p>
        </w:tc>
      </w:tr>
      <w:tr w:rsidR="005A2574" w:rsidRPr="00643369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зона</w:t>
            </w:r>
          </w:p>
          <w:p w:rsidR="005A2574" w:rsidRPr="00B46991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F33129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зональний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B469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«Центр»</w:t>
            </w:r>
          </w:p>
          <w:p w:rsidR="005A2574" w:rsidRPr="00643369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Вул.Дунайгородська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4B63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Героїв</w:t>
            </w:r>
            <w:proofErr w:type="spellEnd"/>
            <w:r w:rsidR="004B63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Майдану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вул.Лютеранська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 вул. 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Зоряна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Б.Хмельницького,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вул.Дачна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пр. 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Героїв Маріуполя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Спортивна,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Конституції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Мистецька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 вул. Садова, вул. Робоча,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пр. Партизанський, вул. Партизанська,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вул</w:t>
            </w:r>
            <w:proofErr w:type="spellEnd"/>
            <w:r w:rsidRPr="00291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Лендера</w:t>
            </w:r>
            <w:proofErr w:type="spellEnd"/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 w:rsidR="001A22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ранца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Загородня, вул. Просвіти,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вул.Коцюбинського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Київська,  вул. Громадська </w:t>
            </w:r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(вул. Героїв АТО, </w:t>
            </w:r>
            <w:proofErr w:type="spellStart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пров.Банківський</w:t>
            </w:r>
            <w:proofErr w:type="spellEnd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вул.Шкільна</w:t>
            </w:r>
            <w:proofErr w:type="spellEnd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вул.Миру</w:t>
            </w:r>
            <w:proofErr w:type="spellEnd"/>
            <w:r w:rsidRPr="00111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,  вул. Заводська, пр. Дачний, вул. Бокова, вул. Хлібопекарська, вул. Заремби, пр. Загородній, вул. Нова)</w:t>
            </w:r>
          </w:p>
        </w:tc>
      </w:tr>
      <w:tr w:rsidR="005A2574" w:rsidRPr="001A228E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643369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3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 зона</w:t>
            </w:r>
          </w:p>
          <w:p w:rsidR="005A2574" w:rsidRPr="00643369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643369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43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зональний коефіцієнт 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«Районна лікарня»</w:t>
            </w:r>
          </w:p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1A228E"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A228E"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Лендера</w:t>
            </w:r>
            <w:proofErr w:type="spellEnd"/>
            <w:r w:rsidR="001A228E"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 w:rsidR="001A22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ранца</w:t>
            </w:r>
            <w:proofErr w:type="spellEnd"/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вул. Громадська, вул. </w:t>
            </w:r>
            <w:r w:rsidR="00C94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proofErr w:type="spellStart"/>
            <w:r w:rsidR="00C94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оборна</w:t>
            </w:r>
            <w:proofErr w:type="spellEnd"/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r w:rsidR="001A22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Героїв Майдану</w:t>
            </w:r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="001A22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</w:t>
            </w:r>
            <w:r w:rsidR="001A22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3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Дунайгородська</w:t>
            </w:r>
            <w:proofErr w:type="spellEnd"/>
          </w:p>
          <w:p w:rsidR="005A2574" w:rsidRPr="00C777B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7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(вул. Широка, вул. Сонячна, пр. Сонячний, пр. Декоративний, вул. Фокіна, вул. Партизанська, пр. </w:t>
            </w:r>
            <w:r w:rsidR="004A5F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Героїв Майдану</w:t>
            </w:r>
            <w:r w:rsidRPr="00C77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5A2574" w:rsidRPr="00687EBC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A93D5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3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 зона</w:t>
            </w:r>
          </w:p>
          <w:p w:rsidR="005A2574" w:rsidRPr="00A93D5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A93D5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93D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зональний коефіцієнт 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«Сільгосптехніка»</w:t>
            </w:r>
          </w:p>
          <w:p w:rsidR="005A2574" w:rsidRPr="00CD4FA5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Вул. Шевченка, вул. </w:t>
            </w:r>
            <w:r w:rsidR="004A5F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Світла</w:t>
            </w:r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="00E53A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53ACD" w:rsidRPr="00E53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Тернавська</w:t>
            </w:r>
            <w:proofErr w:type="spellEnd"/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пр. Партизанський, вул. </w:t>
            </w:r>
            <w:proofErr w:type="spellStart"/>
            <w:r w:rsidR="00E53ACD"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Лендера</w:t>
            </w:r>
            <w:proofErr w:type="spellEnd"/>
            <w:r w:rsidR="00E53ACD"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 w:rsidR="00E53A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ранца</w:t>
            </w:r>
            <w:proofErr w:type="spellEnd"/>
            <w:r w:rsidRPr="00CD4F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 вул. Загородня, вул. Просвіти</w:t>
            </w:r>
          </w:p>
          <w:p w:rsidR="005A2574" w:rsidRPr="00063085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(вул. Залізняка Максима, вул. Нова,вул. Кленова, пр.</w:t>
            </w:r>
            <w:r w:rsidR="001A0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A0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Лендера</w:t>
            </w:r>
            <w:proofErr w:type="spellEnd"/>
            <w:r w:rsidR="001A0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Франца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Павла Тичини, вул. </w:t>
            </w:r>
            <w:r w:rsidR="001A0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Тернавська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Кам</w:t>
            </w:r>
            <w:r w:rsidRPr="000630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вул. Миколи Іщенка, вул. Музична,  вул. Вербна)</w:t>
            </w:r>
          </w:p>
        </w:tc>
      </w:tr>
      <w:tr w:rsidR="005A2574" w:rsidRPr="00C9401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 зона</w:t>
            </w:r>
          </w:p>
          <w:p w:rsidR="005A2574" w:rsidRPr="00687EB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зональний коефіцієнт 1,0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«Червоне село»</w:t>
            </w:r>
          </w:p>
          <w:p w:rsidR="005A2574" w:rsidRPr="005B311B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5B3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Вул. Кармелюка, вул. Зелена, вул</w:t>
            </w:r>
            <w:r w:rsidR="00C940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5B3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Квітнева, вул. Київська, вул. Коцюбинського, вул. Шевченка.</w:t>
            </w:r>
          </w:p>
          <w:p w:rsidR="005A2574" w:rsidRPr="00C21ACE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 пр. Кармелюка, пр. Відродження, вул. Райдужна, пр. Різдвяний, вул. Волонтерська, вул. </w:t>
            </w:r>
            <w:r w:rsidR="00C9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Професорська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вул. Відродження, вул</w:t>
            </w:r>
            <w:r w:rsidR="00C9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Червона, вул</w:t>
            </w:r>
            <w:r w:rsidR="00C9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Молодіжна,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Подільська, вул. </w:t>
            </w:r>
            <w:r w:rsidR="00C94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Весняна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Джерельна, вул. </w:t>
            </w:r>
            <w:r w:rsidR="004A1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Героїв Крут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Червоносільська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r w:rsidR="004A1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Берегова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5A2574" w:rsidRPr="00C07965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687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зона</w:t>
            </w:r>
          </w:p>
          <w:p w:rsidR="005A2574" w:rsidRPr="00687EB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зональний коефіцієнт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«Мікрорайон «Озерний»»</w:t>
            </w:r>
          </w:p>
          <w:p w:rsidR="005A2574" w:rsidRPr="005B311B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Вул. Громадська, вул. Яблунева, межі міста,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вул.Київська</w:t>
            </w:r>
            <w:proofErr w:type="spellEnd"/>
          </w:p>
          <w:p w:rsidR="005A2574" w:rsidRPr="00C21ACE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 вул. Східна, вул. Грушевського,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Козаціька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вул. Дорошенка, пр. Незалежності, вул. Озерна, пр. Озерний 1, пр. Озерний 2, пр. Озерний 3, пр. Озерний 4, пр. Озерний 5, пр. Озерний 6, пр. Озерний 7, вул. Покровська, вул. Січова, вул. Волошкова )</w:t>
            </w:r>
          </w:p>
        </w:tc>
      </w:tr>
      <w:tr w:rsidR="005A2574" w:rsidRPr="00C07965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6</w:t>
            </w:r>
            <w:r w:rsidRPr="00687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зона</w:t>
            </w:r>
          </w:p>
          <w:p w:rsidR="005A2574" w:rsidRPr="00687EB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зональний коефіцієнт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« Південна»</w:t>
            </w:r>
          </w:p>
          <w:p w:rsidR="005A2574" w:rsidRPr="005B311B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Вул. Яблунева, вул. Громадська,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882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Соборна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вул.МТС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вул.Лютеранська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 вул. </w:t>
            </w:r>
            <w:r w:rsidR="00882E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Зоряна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 вул. Хмельницького</w:t>
            </w:r>
            <w:r w:rsidR="00882E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882E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Ярова,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вул.Січова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r w:rsidR="00585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Калинова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Польова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 межі міста.</w:t>
            </w:r>
          </w:p>
          <w:p w:rsidR="005A2574" w:rsidRPr="00C21ACE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 вул. Чайковського,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вул.Ярослава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Мудрого, вул. Гайдамацька, вул. Сагайдачного, вул. Прорізна, вул. Богуна, пр. Чайковського, вул. Цегельна, вул. Гонти,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Шовковича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пров</w:t>
            </w:r>
            <w:r w:rsidR="00585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Громадський, пр. Польовий,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Могилівська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="00585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Магери</w:t>
            </w:r>
            <w:proofErr w:type="spellEnd"/>
            <w:r w:rsidR="00585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Миколи,  вул. </w:t>
            </w:r>
            <w:r w:rsidR="00C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Стельмаха</w:t>
            </w:r>
            <w:r w:rsidR="00C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Михайла, вул. </w:t>
            </w:r>
            <w:r w:rsidR="00C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Свободи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пр.</w:t>
            </w:r>
            <w:r w:rsidR="00C516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Свободи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пр. </w:t>
            </w:r>
            <w:r w:rsidR="0048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Орлика</w:t>
            </w:r>
            <w:r w:rsidR="0048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Пилипа, вул. Володимирська, вул. Господарська, вул. П</w:t>
            </w:r>
            <w:r w:rsidR="0048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шенична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 пр. П</w:t>
            </w:r>
            <w:r w:rsidR="00483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шеничний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вул. Івана Франка)</w:t>
            </w:r>
          </w:p>
        </w:tc>
      </w:tr>
      <w:tr w:rsidR="005A2574" w:rsidRPr="00C07965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687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зона</w:t>
            </w:r>
          </w:p>
          <w:p w:rsidR="005A2574" w:rsidRPr="00687EB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зональний коефіцієнт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«Старе місто»</w:t>
            </w:r>
          </w:p>
          <w:p w:rsidR="005A2574" w:rsidRPr="005B311B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Вул. Ярова, вул. Б.Хмельницького, вул. Суворова,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вул.Дачна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пр. 1-го Травня, вул. Спортивна,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вул.Пролетарська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вул.Гагаріна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Садова, вул. Робоча,пр. Партизанський, вул. Партизанська, межі міста (вздовж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р.Тернава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5A2574" w:rsidRPr="00C21ACE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 вул. Дачна,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пр.Болеслава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Войтовича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Кольцевий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пр. Боковий, вул. Бокова,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вул.Бузкова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Набережна, пр. Верхній, пр. Базарний, вул. Нижня, 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вул. Базарна, вул. </w:t>
            </w:r>
            <w:r w:rsidRPr="009C7D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9C7D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-го Травня,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 вул. Хлібопекарська,  вул. Зарічна,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вул. Мічуріна, вул. Робоча, пр. Робочий)</w:t>
            </w:r>
          </w:p>
        </w:tc>
      </w:tr>
      <w:tr w:rsidR="005A2574" w:rsidRPr="00686C6D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687EBC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687E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зона</w:t>
            </w:r>
          </w:p>
          <w:p w:rsidR="005A2574" w:rsidRPr="00687EBC" w:rsidRDefault="005A2574" w:rsidP="0047343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зональний коефіцієнт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687E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Заставля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  <w:p w:rsidR="005A2574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Вул.Степана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Разіна, межі міста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Дунаївці</w:t>
            </w:r>
            <w:proofErr w:type="spellEnd"/>
          </w:p>
          <w:p w:rsidR="005A2574" w:rsidRPr="0023227E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322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вул.Островського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, вул. Паркова, вул. Михайла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Чекмана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, вул. Піонерська, вул. Ціолковського, вул. 1-го Травня, вул. Толстого, вул. Марка Вовчка)</w:t>
            </w:r>
          </w:p>
        </w:tc>
      </w:tr>
    </w:tbl>
    <w:p w:rsidR="005A2574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p w:rsidR="00473435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1.1 </w:t>
      </w:r>
      <w:r w:rsidRPr="00BA1E7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Розмір плати за користування місцями, які перебувають у комунальній власності та надаються розповсюджувачам зовнішньої реклами для розташування спеціальних конструкцій</w:t>
      </w: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на території населених пунктів </w:t>
      </w:r>
      <w:proofErr w:type="spellStart"/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Дунаєвецької</w:t>
      </w:r>
      <w:proofErr w:type="spellEnd"/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міської ради</w:t>
      </w:r>
      <w:r w:rsidRPr="00BA1E7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визначається, виходячи з економічної оцінки території </w:t>
      </w: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певного населеного пункту.</w:t>
      </w:r>
    </w:p>
    <w:p w:rsidR="005A2574" w:rsidRPr="00C07965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C0796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2. Види та типи рекламних засобів.</w:t>
      </w:r>
    </w:p>
    <w:p w:rsidR="005A2574" w:rsidRPr="00C07965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C0796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2.1. До основних видів зовнішньої реклами відносяться:</w:t>
      </w:r>
    </w:p>
    <w:p w:rsidR="005A2574" w:rsidRPr="00BA3013" w:rsidRDefault="005A2574" w:rsidP="00473435">
      <w:pPr>
        <w:shd w:val="clear" w:color="auto" w:fill="FDFDFD"/>
        <w:spacing w:after="0" w:line="240" w:lineRule="auto"/>
        <w:ind w:firstLine="567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C0796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 xml:space="preserve">Стаціонарні </w:t>
      </w:r>
      <w:r w:rsidRPr="00BA3013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рекламні засоби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r w:rsidRPr="00BA3013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– рекламні засоби, які розташовуються у спосіб, що не передбачає можливості їх переміщення без відокремлення конструктивних елементів (опор, фундаментів, кронштейнів тощо), котрі забезпечують фіксацію рекламного засобу у місці його розташування.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Стаціонарні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поділяються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наземні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навісні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такі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розташовуються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будинках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і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спорудах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Тимчасові рекламні засоби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– рекламні засоби, конструктивне рішення яких передбачає можливість їх вільного переміщення з визначеного місця розташування. 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До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тимчасових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належать,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зокрема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виносні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щитові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конструкції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2.2.Типи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: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proofErr w:type="spellStart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Брендмауери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– навісні </w:t>
      </w:r>
      <w:proofErr w:type="spellStart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рекламоносії</w:t>
      </w:r>
      <w:proofErr w:type="spellEnd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, які виконуються у вигляді банерів, панно, будівельних </w:t>
      </w:r>
      <w:proofErr w:type="spellStart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декоративно-сітчатих</w:t>
      </w:r>
      <w:proofErr w:type="spellEnd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огороджень, плакатів </w:t>
      </w:r>
      <w:proofErr w:type="spellStart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гіперформату</w:t>
      </w:r>
      <w:proofErr w:type="spellEnd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в жорсткому каркасі, розташовуються на фасадах будинків, споруд або закріплюються на будівельних конструкціях лісів та прикривають будинки, споруди, які ремонтуються, реконструюються, будуються чи демонтуються.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Бек-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лайт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стаціонарна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наземна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конструкція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формату 3х4 м.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Можуть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бути як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однобічні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так і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двобічні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Виносні щитові конструкції (</w:t>
      </w:r>
      <w:proofErr w:type="spellStart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штендери</w:t>
      </w:r>
      <w:proofErr w:type="spellEnd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)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– тимчасові рекламні засоби, які встановлюються на вулиці фізичними або юридичними особами, що рекламують свої товари, продукцію, послуги, виключно під час роботи особи-розповсюджувача та у безпосередній близькості від її місця розташування.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lastRenderedPageBreak/>
        <w:t>Дахові конструкції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– різноманітні об’ємні або плоскі установки, розташовані повністю або частково вище рівня карнизу споруди (будинку) або на даху.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Індивідуальний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рекламний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засіб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–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розроблений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індивідуальним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проектним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ішенням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ліцензійною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організацією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не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відноситься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жодного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перелічених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ілар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наземний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стаціонарний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засіб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у горизонтальному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розрізі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є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рівностороннім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тригранником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вгнутими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всередину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чи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випуклими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сторонами, як правило,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розміром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3х1,4 м.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ілон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 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наземний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стаціонарний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засіб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вигляді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плоскої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або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випуклої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вертикальної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стели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двома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поверхнями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розміром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2,8х1,4 м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чи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3х1,5 м.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C</w:t>
      </w:r>
      <w:proofErr w:type="spellStart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іт</w:t>
      </w:r>
      <w:proofErr w:type="gramStart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і-</w:t>
      </w:r>
      <w:proofErr w:type="gramEnd"/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лайт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– об’єкт зовнішньої реклами, який представляє собою стенд (короб) з розміром однієї рекламної площини 1,2х1,8 м чи 1,5х2,15 м. Сіті-лайт розміщується як конструкція, так і на опорі.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Св</w:t>
      </w:r>
      <w:proofErr w:type="gram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ітлодіодний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екран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(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електронне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табло)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призначений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відтворення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зображення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площині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екрану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рахунок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випромінювання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світла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світлодіодів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ламп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інших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джерел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світла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Скрол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 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динамічний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окремо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стоячий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засіб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із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зміною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зображень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Дозволяє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посл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ідовно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демонструвати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3-х до 12-ти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зображень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одній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поверхні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(3,7х2,7 м; 3,14х2,2 м).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Біг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борд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 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наземна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конструкція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формату 3х6 м.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Техн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ічно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можуть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бути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різними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кількостями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сторін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Тривіжин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призматрон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)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 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вдосконалений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варіант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г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борду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тригранними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призмами,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повертаються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дозволяють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розмістити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три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зображення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Тріедр</w:t>
      </w: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– (тригранний сіті-лайт) – розміщення даного типу здійснюється аналогічно до розміщення конструкції типу “сіті-лайт”.</w:t>
      </w:r>
    </w:p>
    <w:p w:rsidR="005A2574" w:rsidRPr="00B46991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Трол</w:t>
      </w:r>
      <w:proofErr w:type="spellEnd"/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навісний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стаціонарний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засіб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(перетяжка  над дорогою) (3,5х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0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,5 м; 5х1 м).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Банерна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тканина з великою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кількістю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люверсів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кожні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5-15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сантиметрів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по периметру)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закріплюється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над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проїзною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частиною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упоперек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руху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транспорту та/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або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ішоходів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над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поверхнею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вулиць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доріг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тротуарів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тощо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473435" w:rsidRDefault="005A2574" w:rsidP="00473435">
      <w:pPr>
        <w:shd w:val="clear" w:color="auto" w:fill="FDFDFD"/>
        <w:spacing w:after="0" w:line="240" w:lineRule="auto"/>
        <w:ind w:firstLine="708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>Реклама на елементах благоустрою –</w:t>
      </w: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рекламні засоби, розміщені на конструкціях інженерних споруд, інших елементах благоустрою, які використовуються як </w:t>
      </w:r>
      <w:proofErr w:type="spellStart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рекламоносії</w:t>
      </w:r>
      <w:proofErr w:type="spellEnd"/>
      <w:r w:rsidRPr="0047343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, в тому числі на урнах, лавах, телефонних кабінах, малих архітектурних формах, нестаціонарних об’єктах торгівлі (наметах), вуличних меблях тощо.</w:t>
      </w:r>
    </w:p>
    <w:p w:rsidR="00B56490" w:rsidRPr="00B56490" w:rsidRDefault="005A2574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eastAsia="ru-RU"/>
        </w:rPr>
        <w:t>      </w:t>
      </w:r>
      <w:r w:rsidR="00473435">
        <w:rPr>
          <w:rFonts w:ascii="Conv_Rubik-Regular" w:eastAsia="Times New Roman" w:hAnsi="Conv_Rubik-Regular" w:cs="Times New Roman"/>
          <w:b/>
          <w:bCs/>
          <w:color w:val="000000" w:themeColor="text1"/>
          <w:sz w:val="21"/>
          <w:szCs w:val="21"/>
          <w:lang w:val="uk-UA" w:eastAsia="ru-RU"/>
        </w:rPr>
        <w:tab/>
      </w:r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У </w:t>
      </w:r>
      <w:r w:rsid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1</w:t>
      </w:r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-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ій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зоні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дозволяється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встановлення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наземних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засобів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типу: </w:t>
      </w:r>
      <w:proofErr w:type="spell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сіт</w:t>
      </w:r>
      <w:proofErr w:type="gramStart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і-</w:t>
      </w:r>
      <w:proofErr w:type="gram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лайт</w:t>
      </w:r>
      <w:proofErr w:type="spellEnd"/>
      <w:r w:rsidR="00B56490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,</w:t>
      </w:r>
    </w:p>
    <w:p w:rsidR="00B56490" w:rsidRP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</w:pPr>
      <w:proofErr w:type="spellStart"/>
      <w:proofErr w:type="gram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тр</w:t>
      </w:r>
      <w:proofErr w:type="gram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іедр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тумба,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пілар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пілон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скрол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відео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екран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світлодіодний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екран</w:t>
      </w:r>
      <w:proofErr w:type="spellEnd"/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,</w:t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рекламні</w:t>
      </w:r>
      <w:proofErr w:type="spellEnd"/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засоби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будинках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.</w:t>
      </w:r>
    </w:p>
    <w:p w:rsid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</w:pP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 xml:space="preserve">      </w:t>
      </w:r>
      <w:r w:rsidR="00473435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ab/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У </w:t>
      </w:r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1</w:t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-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ій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зоні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забороняється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розташування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 xml:space="preserve">нової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типу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бі</w:t>
      </w:r>
      <w:proofErr w:type="gram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г</w:t>
      </w:r>
      <w:proofErr w:type="spellEnd"/>
      <w:proofErr w:type="gram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борд</w:t>
      </w:r>
      <w:proofErr w:type="spellEnd"/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.</w:t>
      </w:r>
    </w:p>
    <w:p w:rsidR="00B56490" w:rsidRP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</w:pPr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 xml:space="preserve">      </w:t>
      </w:r>
      <w:r w:rsidR="00473435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ab/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У </w:t>
      </w:r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2</w:t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-</w:t>
      </w:r>
      <w:r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  <w:t>8</w:t>
      </w: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зонах </w:t>
      </w:r>
      <w:proofErr w:type="spellStart"/>
      <w:proofErr w:type="gram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дозволяється</w:t>
      </w:r>
      <w:proofErr w:type="spellEnd"/>
      <w:proofErr w:type="gram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встановлення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наземних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засобів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типу: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біг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борд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,</w:t>
      </w:r>
    </w:p>
    <w:p w:rsidR="00B56490" w:rsidRP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</w:pP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беклайт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сіт</w:t>
      </w:r>
      <w:proofErr w:type="gram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і-</w:t>
      </w:r>
      <w:proofErr w:type="gram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лайт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тріедр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тумба,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пілар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пілон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скрол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трол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відео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екран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світлодіодний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екран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,</w:t>
      </w:r>
    </w:p>
    <w:p w:rsid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</w:pP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рекламні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засоби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на фасадах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нежитлових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будинків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будівель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споруд</w:t>
      </w:r>
      <w:proofErr w:type="spellEnd"/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.</w:t>
      </w:r>
      <w:r w:rsidR="005A2574"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>  </w:t>
      </w:r>
    </w:p>
    <w:p w:rsidR="00B56490" w:rsidRPr="00B56490" w:rsidRDefault="00B56490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val="uk-UA" w:eastAsia="ru-RU"/>
        </w:rPr>
      </w:pPr>
    </w:p>
    <w:p w:rsidR="005A2574" w:rsidRPr="00B56490" w:rsidRDefault="005A2574" w:rsidP="00473435">
      <w:pPr>
        <w:shd w:val="clear" w:color="auto" w:fill="FDFDFD"/>
        <w:spacing w:after="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56490">
        <w:rPr>
          <w:rFonts w:ascii="Conv_Rubik-Regular" w:eastAsia="Times New Roman" w:hAnsi="Conv_Rubik-Regular" w:cs="Times New Roman"/>
          <w:bCs/>
          <w:color w:val="000000" w:themeColor="text1"/>
          <w:sz w:val="21"/>
          <w:szCs w:val="21"/>
          <w:lang w:eastAsia="ru-RU"/>
        </w:rPr>
        <w:t xml:space="preserve">    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3.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Місячний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визначається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формулою: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Рпм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=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Бмс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х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х Пм х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, де: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Рпм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місячний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Бмс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базова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місячна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ставка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зональний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коефіцієнт</w:t>
      </w:r>
      <w:proofErr w:type="spellEnd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Пм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площа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обчислена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в метрах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квадратних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округленням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значення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десятої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частини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дробу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–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коригуючий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коефіцієнт</w:t>
      </w:r>
      <w:proofErr w:type="spellEnd"/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4. Базовою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місячною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ставкою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Бмс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є 1</w:t>
      </w:r>
      <w:r w:rsidR="00AA379F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0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%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базової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вартості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одного квадратного метра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землі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визначеної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ішенням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міської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ради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щодо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затвердження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грошової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оцінки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земель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міста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та яка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діє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день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проведення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розрахунку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із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заокругленням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цілого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числа 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більшу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сторону).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5.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Зональний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коефіцієнт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встановлюється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для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відповідної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зони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саме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4905"/>
      </w:tblGrid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Зк</w:t>
            </w:r>
            <w:proofErr w:type="spellEnd"/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08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93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91</w:t>
            </w: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місячної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ставки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розміру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плати</w:t>
            </w:r>
          </w:p>
        </w:tc>
      </w:tr>
    </w:tbl>
    <w:p w:rsidR="00275C74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          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6.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Коригуючий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коефіцієнт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залежить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кількості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площин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81"/>
        <w:gridCol w:w="494"/>
        <w:gridCol w:w="546"/>
        <w:gridCol w:w="908"/>
        <w:gridCol w:w="1879"/>
      </w:tblGrid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Чотири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ільше</w:t>
            </w:r>
            <w:proofErr w:type="spellEnd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чотирьох</w:t>
            </w:r>
            <w:proofErr w:type="spellEnd"/>
          </w:p>
        </w:tc>
      </w:tr>
      <w:tr w:rsidR="005A2574" w:rsidRPr="00B46991" w:rsidTr="009775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A2574" w:rsidRPr="00B46991" w:rsidRDefault="005A2574" w:rsidP="0047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6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</w:tbl>
    <w:p w:rsidR="005A2574" w:rsidRPr="00B46991" w:rsidRDefault="005A2574" w:rsidP="00275C74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7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Місячний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плати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понижується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50% при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: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кронштейнів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інах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будівель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будинків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споруд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дорожніх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металевих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огородженнях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електронних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табло,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рядків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біжать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лазерних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установок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площині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екрана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телеекрани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ітлових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художньо-просторових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композицій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(неон,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світловий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шнур);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-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концертної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театральної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гастрольної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виставок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товарі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послуг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AA379F" w:rsidRDefault="00AA379F" w:rsidP="00275C74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8</w:t>
      </w:r>
      <w:r w:rsidR="005A2574" w:rsidRPr="00AA379F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. Розмір плати для розміщення </w:t>
      </w:r>
      <w:proofErr w:type="spellStart"/>
      <w:r w:rsidR="005A2574" w:rsidRPr="00AA379F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штендерів</w:t>
      </w:r>
      <w:proofErr w:type="spellEnd"/>
      <w:r w:rsidR="005A2574" w:rsidRPr="00AA379F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, якщо розмір місця їх розміщення горизонтальної проекції рекламного засобу не перевищує два квадратних метра, встановлюється в розмірі 25% від місячного розміру плати за місце розміщення зовнішньої реклами і не залежить від місця встановлення (прилегла чи прибудинкова територія).</w:t>
      </w:r>
    </w:p>
    <w:p w:rsidR="005A2574" w:rsidRPr="00B46991" w:rsidRDefault="008B5475" w:rsidP="00275C74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9</w:t>
      </w:r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</w:t>
      </w:r>
      <w:proofErr w:type="gram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spellEnd"/>
      <w:proofErr w:type="gram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за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місцями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розташування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тимчасових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натяжних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засобів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дорожніх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металевих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огородженнях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під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час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проведення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масових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заходів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видовищного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споживчого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, культурно-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просвітницького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соціального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спортивного характеру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встановлюється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в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розмірі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50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гривень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</w:t>
      </w:r>
      <w:proofErr w:type="spellStart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добу</w:t>
      </w:r>
      <w:proofErr w:type="spellEnd"/>
      <w:r w:rsidR="005A2574"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Догові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тимчасових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натяжних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рекламних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дорожніх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металевих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огородженнях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укладається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термін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 30-ти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діб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275C74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1</w:t>
      </w:r>
      <w:r w:rsidR="008B5475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0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ільги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відтермінування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та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розтермінування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не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надаються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           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Розповсюджувачам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які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беруть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себе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додаткові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зобов'язання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утриманню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об'єктів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комунальної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власності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за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ішенням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виконавчого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комітету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може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бути установлений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зменшений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розмір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8B5475" w:rsidRPr="008B5475" w:rsidRDefault="008B5475" w:rsidP="00275C74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11. Від сплати за місце</w:t>
      </w:r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</w:t>
      </w: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звіл</w:t>
      </w:r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ьняється розповсюджувач реклами у разі розміщення соціальної реклами </w:t>
      </w:r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(залежно від кількості площин)</w:t>
      </w:r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на прохання </w:t>
      </w:r>
      <w:proofErr w:type="spellStart"/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Дунаєвецької</w:t>
      </w:r>
      <w:proofErr w:type="spellEnd"/>
      <w:r w:rsidR="00F018B9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 міської ради. </w:t>
      </w:r>
    </w:p>
    <w:p w:rsidR="005A2574" w:rsidRPr="00275C74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</w:pPr>
      <w:r w:rsidRP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1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2</w:t>
      </w:r>
      <w:r w:rsidRP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. Розмір плати, обрахований без податку на додану вартість, без врахування податку на рекламу, є нижньою межею для розрахунків розмірів плати за місце розміщення зовнішньої реклами і при необхідності, встановленої рішенням виконавчого комітету міської ради, визначається шляхом коригування розміру плати попереднього року на рівень інфляції за цей період.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1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3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Строк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внесення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визначається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в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Договорі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про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надання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місць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рекламного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засобу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але не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ізніше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25 числа поточного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місяця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1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4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несвоєчасне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виконання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своїх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грошових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обов’язків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внесенню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користувач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місцем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сплачує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пеню 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0,5 %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від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заборгованої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суми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кожний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прострочений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день.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</w:t>
      </w:r>
      <w:proofErr w:type="spellEnd"/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не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може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перевищувати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подвійної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облікової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ставки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Національного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Банку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України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що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діє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час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нарахування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згідно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діючим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цей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період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законодавством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1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5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Несплата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платежів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протягом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трьох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місяців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дня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закінчення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строку платежу є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ідставою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дострокового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анулювання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дозволу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одночасним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розірванням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Договору в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односторонньому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порядку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ініціативою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робочого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органу.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lastRenderedPageBreak/>
        <w:t xml:space="preserve">При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цьому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розповсюджувача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стягується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сума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заборгованості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нарахуванням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пені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кожний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день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прострочення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платежу.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1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6</w:t>
      </w: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.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Кошти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внесен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у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вигляді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плати за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тимчасове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користування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місцями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для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розміщення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перераховуються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розповсюджувачами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зовнішньої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реклами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міського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бюджету на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рахунок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, </w:t>
      </w:r>
      <w:proofErr w:type="spell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вказаний</w:t>
      </w:r>
      <w:proofErr w:type="spell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у</w:t>
      </w:r>
      <w:proofErr w:type="gramEnd"/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 xml:space="preserve"> договорах.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 xml:space="preserve">Заступник міського голови                                                                                </w:t>
      </w:r>
      <w:r w:rsidR="00275C74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val="uk-UA" w:eastAsia="ru-RU"/>
        </w:rPr>
        <w:t>Сергій ЯЦЕНКО</w:t>
      </w:r>
    </w:p>
    <w:p w:rsidR="005A2574" w:rsidRPr="00B46991" w:rsidRDefault="005A2574" w:rsidP="00473435">
      <w:pPr>
        <w:shd w:val="clear" w:color="auto" w:fill="FDFDFD"/>
        <w:spacing w:after="150" w:line="240" w:lineRule="auto"/>
        <w:jc w:val="both"/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</w:pPr>
      <w:r w:rsidRPr="00B46991">
        <w:rPr>
          <w:rFonts w:ascii="Conv_Rubik-Regular" w:eastAsia="Times New Roman" w:hAnsi="Conv_Rubik-Regular" w:cs="Times New Roman"/>
          <w:color w:val="000000" w:themeColor="text1"/>
          <w:sz w:val="21"/>
          <w:szCs w:val="21"/>
          <w:lang w:eastAsia="ru-RU"/>
        </w:rPr>
        <w:t> </w:t>
      </w:r>
    </w:p>
    <w:p w:rsidR="005A2574" w:rsidRPr="005A2574" w:rsidRDefault="005A2574" w:rsidP="00473435">
      <w:pPr>
        <w:jc w:val="both"/>
        <w:rPr>
          <w:rFonts w:ascii="Times New Roman" w:hAnsi="Times New Roman" w:cs="Times New Roman"/>
          <w:b/>
          <w:lang w:val="en-US"/>
        </w:rPr>
      </w:pPr>
    </w:p>
    <w:sectPr w:rsidR="005A2574" w:rsidRPr="005A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4"/>
    <w:rsid w:val="001A0F16"/>
    <w:rsid w:val="001A228E"/>
    <w:rsid w:val="00275C74"/>
    <w:rsid w:val="00470BB6"/>
    <w:rsid w:val="00473435"/>
    <w:rsid w:val="004832D8"/>
    <w:rsid w:val="004A1430"/>
    <w:rsid w:val="004A5FC3"/>
    <w:rsid w:val="004B633F"/>
    <w:rsid w:val="005649C4"/>
    <w:rsid w:val="00585DAC"/>
    <w:rsid w:val="005A2574"/>
    <w:rsid w:val="007C7504"/>
    <w:rsid w:val="00882EA2"/>
    <w:rsid w:val="008B5475"/>
    <w:rsid w:val="00AA379F"/>
    <w:rsid w:val="00B55488"/>
    <w:rsid w:val="00B56490"/>
    <w:rsid w:val="00B57A6B"/>
    <w:rsid w:val="00C333E8"/>
    <w:rsid w:val="00C516C5"/>
    <w:rsid w:val="00C94011"/>
    <w:rsid w:val="00E53ACD"/>
    <w:rsid w:val="00F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2022-12-16T08:18:00Z</dcterms:created>
  <dcterms:modified xsi:type="dcterms:W3CDTF">2022-12-16T08:18:00Z</dcterms:modified>
</cp:coreProperties>
</file>