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1C" w:rsidRPr="00CD13E1" w:rsidRDefault="00D5421C" w:rsidP="00D5421C">
      <w:pPr>
        <w:rPr>
          <w:rFonts w:ascii="Times New Roman" w:hAnsi="Times New Roman" w:cs="Times New Roman"/>
          <w:b/>
          <w:sz w:val="24"/>
          <w:szCs w:val="24"/>
          <w:lang w:val="uk-UA"/>
        </w:rPr>
      </w:pPr>
      <w:r w:rsidRPr="00CD13E1">
        <w:rPr>
          <w:noProof/>
          <w:lang w:eastAsia="ru-RU"/>
        </w:rPr>
        <w:drawing>
          <wp:anchor distT="0" distB="0" distL="114300" distR="114300" simplePos="0" relativeHeight="251659264" behindDoc="0" locked="0" layoutInCell="1" allowOverlap="1" wp14:anchorId="217DA16A" wp14:editId="6BA62484">
            <wp:simplePos x="0" y="0"/>
            <wp:positionH relativeFrom="column">
              <wp:posOffset>2758440</wp:posOffset>
            </wp:positionH>
            <wp:positionV relativeFrom="paragraph">
              <wp:posOffset>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421C" w:rsidRPr="00CD13E1" w:rsidRDefault="00D5421C" w:rsidP="00D5421C">
      <w:pPr>
        <w:jc w:val="center"/>
        <w:rPr>
          <w:rFonts w:ascii="Times New Roman" w:hAnsi="Times New Roman" w:cs="Times New Roman"/>
          <w:b/>
          <w:sz w:val="24"/>
          <w:szCs w:val="24"/>
          <w:lang w:val="uk-UA"/>
        </w:rPr>
      </w:pPr>
    </w:p>
    <w:p w:rsidR="00D5421C" w:rsidRPr="00CD13E1" w:rsidRDefault="00D5421C" w:rsidP="00D5421C">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D5421C" w:rsidRPr="00CD13E1" w:rsidRDefault="00D5421C" w:rsidP="00D5421C">
      <w:pPr>
        <w:pStyle w:val="a3"/>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D5421C" w:rsidRPr="00CD13E1" w:rsidRDefault="00D5421C" w:rsidP="00D5421C">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D5421C" w:rsidRPr="00CD13E1" w:rsidRDefault="00D5421C" w:rsidP="00D5421C">
      <w:pPr>
        <w:spacing w:after="0" w:line="240" w:lineRule="auto"/>
        <w:jc w:val="center"/>
        <w:rPr>
          <w:rFonts w:ascii="Times New Roman" w:hAnsi="Times New Roman" w:cs="Times New Roman"/>
          <w:sz w:val="24"/>
          <w:szCs w:val="24"/>
          <w:lang w:val="uk-UA"/>
        </w:rPr>
      </w:pPr>
    </w:p>
    <w:p w:rsidR="00D5421C" w:rsidRPr="00CD13E1" w:rsidRDefault="00D5421C" w:rsidP="00D5421C">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D5421C" w:rsidRPr="00CD13E1" w:rsidRDefault="00D5421C" w:rsidP="00D5421C">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D5421C" w:rsidRPr="00CD13E1" w:rsidRDefault="00D5421C" w:rsidP="00D5421C">
      <w:pPr>
        <w:rPr>
          <w:rFonts w:ascii="Times New Roman" w:hAnsi="Times New Roman" w:cs="Times New Roman"/>
          <w:sz w:val="24"/>
          <w:szCs w:val="24"/>
          <w:lang w:val="uk-UA"/>
        </w:rPr>
      </w:pPr>
    </w:p>
    <w:p w:rsidR="00D5421C" w:rsidRPr="00CD13E1" w:rsidRDefault="00D5421C" w:rsidP="00D5421C">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серпня 2018 р.                                     </w:t>
      </w:r>
      <w:proofErr w:type="spellStart"/>
      <w:r w:rsidRPr="00CD13E1">
        <w:rPr>
          <w:rFonts w:ascii="Times New Roman" w:hAnsi="Times New Roman" w:cs="Times New Roman"/>
          <w:sz w:val="24"/>
          <w:szCs w:val="24"/>
          <w:lang w:val="uk-UA"/>
        </w:rPr>
        <w:t>Дунаївці</w:t>
      </w:r>
      <w:proofErr w:type="spellEnd"/>
      <w:r w:rsidRPr="00CD13E1">
        <w:rPr>
          <w:rFonts w:ascii="Times New Roman" w:hAnsi="Times New Roman" w:cs="Times New Roman"/>
          <w:sz w:val="24"/>
          <w:szCs w:val="24"/>
          <w:lang w:val="uk-UA"/>
        </w:rPr>
        <w:tab/>
        <w:t xml:space="preserve">            </w:t>
      </w:r>
      <w:r w:rsidR="00B56111">
        <w:rPr>
          <w:rFonts w:ascii="Times New Roman" w:hAnsi="Times New Roman" w:cs="Times New Roman"/>
          <w:sz w:val="24"/>
          <w:szCs w:val="24"/>
          <w:lang w:val="uk-UA"/>
        </w:rPr>
        <w:t xml:space="preserve">                               </w:t>
      </w:r>
      <w:bookmarkStart w:id="0" w:name="_GoBack"/>
      <w:bookmarkEnd w:id="0"/>
      <w:r w:rsidRPr="00CD13E1">
        <w:rPr>
          <w:rFonts w:ascii="Times New Roman" w:hAnsi="Times New Roman" w:cs="Times New Roman"/>
          <w:sz w:val="24"/>
          <w:szCs w:val="24"/>
          <w:lang w:val="uk-UA"/>
        </w:rPr>
        <w:t xml:space="preserve">     № </w:t>
      </w:r>
      <w:r>
        <w:rPr>
          <w:rFonts w:ascii="Times New Roman" w:hAnsi="Times New Roman" w:cs="Times New Roman"/>
          <w:sz w:val="24"/>
          <w:szCs w:val="24"/>
          <w:lang w:val="uk-UA"/>
        </w:rPr>
        <w:t>10</w:t>
      </w:r>
      <w:r w:rsidRPr="00CD13E1">
        <w:rPr>
          <w:rFonts w:ascii="Times New Roman" w:hAnsi="Times New Roman" w:cs="Times New Roman"/>
          <w:sz w:val="24"/>
          <w:szCs w:val="24"/>
          <w:lang w:val="uk-UA"/>
        </w:rPr>
        <w:t xml:space="preserve">-39/2018р </w:t>
      </w:r>
    </w:p>
    <w:p w:rsidR="00D5421C" w:rsidRPr="00CD13E1" w:rsidRDefault="00D5421C" w:rsidP="00D5421C">
      <w:pPr>
        <w:spacing w:after="0" w:line="240" w:lineRule="auto"/>
        <w:jc w:val="both"/>
        <w:rPr>
          <w:rFonts w:ascii="Times New Roman" w:hAnsi="Times New Roman" w:cs="Times New Roman"/>
          <w:sz w:val="24"/>
          <w:szCs w:val="24"/>
          <w:lang w:val="uk-UA"/>
        </w:rPr>
      </w:pPr>
    </w:p>
    <w:p w:rsidR="00D5421C" w:rsidRPr="00CD13E1" w:rsidRDefault="00D5421C" w:rsidP="00D5421C">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внесення змін до міського бюджету на 2018 рік</w:t>
      </w:r>
    </w:p>
    <w:p w:rsidR="00D5421C" w:rsidRPr="00CD13E1" w:rsidRDefault="00D5421C" w:rsidP="00D5421C">
      <w:pPr>
        <w:spacing w:after="0" w:line="240" w:lineRule="auto"/>
        <w:ind w:firstLine="709"/>
        <w:jc w:val="both"/>
        <w:rPr>
          <w:rFonts w:ascii="Times New Roman" w:hAnsi="Times New Roman" w:cs="Times New Roman"/>
          <w:sz w:val="24"/>
          <w:szCs w:val="24"/>
          <w:lang w:val="uk-UA"/>
        </w:rPr>
      </w:pPr>
    </w:p>
    <w:p w:rsidR="00D5421C" w:rsidRPr="00CD13E1" w:rsidRDefault="00D5421C" w:rsidP="00D5421C">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враховуючи </w:t>
      </w:r>
      <w:r w:rsidRPr="00CD13E1">
        <w:rPr>
          <w:rFonts w:ascii="Times New Roman" w:eastAsia="Times New Roman" w:hAnsi="Times New Roman" w:cs="Times New Roman"/>
          <w:sz w:val="24"/>
          <w:szCs w:val="24"/>
          <w:lang w:val="uk-UA" w:eastAsia="ru-RU"/>
        </w:rPr>
        <w:t>пропозиції спільного засідання постійних ком</w:t>
      </w:r>
      <w:r>
        <w:rPr>
          <w:rFonts w:ascii="Times New Roman" w:eastAsia="Times New Roman" w:hAnsi="Times New Roman" w:cs="Times New Roman"/>
          <w:sz w:val="24"/>
          <w:szCs w:val="24"/>
          <w:lang w:val="uk-UA" w:eastAsia="ru-RU"/>
        </w:rPr>
        <w:t>ісій від 22.08.2018р</w:t>
      </w:r>
      <w:r w:rsidRPr="00CD13E1">
        <w:rPr>
          <w:rFonts w:ascii="Times New Roman" w:eastAsia="Times New Roman" w:hAnsi="Times New Roman" w:cs="Times New Roman"/>
          <w:sz w:val="24"/>
          <w:szCs w:val="24"/>
          <w:lang w:val="uk-UA" w:eastAsia="ru-RU"/>
        </w:rPr>
        <w:t>, міська рада</w:t>
      </w:r>
    </w:p>
    <w:p w:rsidR="00D5421C" w:rsidRPr="00CD13E1" w:rsidRDefault="00D5421C" w:rsidP="00D5421C">
      <w:pPr>
        <w:spacing w:after="0" w:line="240" w:lineRule="auto"/>
        <w:ind w:right="-1" w:firstLine="709"/>
        <w:jc w:val="center"/>
        <w:rPr>
          <w:rFonts w:ascii="Times New Roman" w:hAnsi="Times New Roman" w:cs="Times New Roman"/>
          <w:color w:val="000000"/>
          <w:sz w:val="24"/>
          <w:szCs w:val="24"/>
          <w:lang w:val="uk-UA"/>
        </w:rPr>
      </w:pPr>
    </w:p>
    <w:p w:rsidR="00D5421C" w:rsidRDefault="00D5421C" w:rsidP="00D5421C">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D5421C" w:rsidRPr="00CD13E1" w:rsidRDefault="00D5421C" w:rsidP="00D5421C">
      <w:pPr>
        <w:spacing w:after="0" w:line="240" w:lineRule="auto"/>
        <w:ind w:right="-1" w:firstLine="709"/>
        <w:jc w:val="center"/>
        <w:rPr>
          <w:rFonts w:ascii="Times New Roman" w:hAnsi="Times New Roman" w:cs="Times New Roman"/>
          <w:b/>
          <w:bCs/>
          <w:color w:val="000000"/>
          <w:sz w:val="24"/>
          <w:szCs w:val="24"/>
          <w:lang w:val="uk-UA"/>
        </w:rPr>
      </w:pP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1. Внести зміни до рішення сесії міської ради VІІ скликання від 22.12.2017 р. № 10-32/2017р «Про міський  бюджет на 2018 рік»:</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w:t>
      </w:r>
      <w:r w:rsidRPr="00A43254">
        <w:rPr>
          <w:rFonts w:ascii="Times New Roman" w:hAnsi="Times New Roman" w:cs="Times New Roman"/>
          <w:sz w:val="24"/>
          <w:szCs w:val="24"/>
          <w:lang w:val="uk-UA"/>
        </w:rPr>
        <w:t>Збільшити дохідну частину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по коду 33010100 «Кошти від продажу земельних ділянок несільськогосподарського призначення, що перебувають у державній або комунальній власності» на суму 157 000 грн.</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w:t>
      </w:r>
      <w:r w:rsidRPr="00A43254">
        <w:rPr>
          <w:rFonts w:ascii="Times New Roman" w:hAnsi="Times New Roman" w:cs="Times New Roman"/>
          <w:sz w:val="24"/>
          <w:szCs w:val="24"/>
          <w:lang w:val="uk-UA"/>
        </w:rPr>
        <w:t>Зменшити видатки загального фонду міського бюджету на суму 956 200 грн., в тому числі:</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992"/>
        <w:gridCol w:w="1134"/>
        <w:gridCol w:w="992"/>
        <w:gridCol w:w="993"/>
        <w:gridCol w:w="425"/>
      </w:tblGrid>
      <w:tr w:rsidR="00D5421C" w:rsidRPr="00A43254" w:rsidTr="00316615">
        <w:trPr>
          <w:cantSplit/>
        </w:trPr>
        <w:tc>
          <w:tcPr>
            <w:tcW w:w="993"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3827"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2"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1134"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видатки споживання</w:t>
            </w:r>
          </w:p>
        </w:tc>
        <w:tc>
          <w:tcPr>
            <w:tcW w:w="1985" w:type="dxa"/>
            <w:gridSpan w:val="2"/>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c>
          <w:tcPr>
            <w:tcW w:w="425"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видатки розвитку</w:t>
            </w:r>
          </w:p>
        </w:tc>
      </w:tr>
      <w:tr w:rsidR="00D5421C" w:rsidRPr="00A43254" w:rsidTr="00316615">
        <w:trPr>
          <w:cantSplit/>
        </w:trPr>
        <w:tc>
          <w:tcPr>
            <w:tcW w:w="993" w:type="dxa"/>
            <w:vMerge/>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c>
          <w:tcPr>
            <w:tcW w:w="709" w:type="dxa"/>
            <w:vMerge/>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c>
          <w:tcPr>
            <w:tcW w:w="3827" w:type="dxa"/>
            <w:vMerge/>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c>
          <w:tcPr>
            <w:tcW w:w="992" w:type="dxa"/>
            <w:vMerge/>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c>
          <w:tcPr>
            <w:tcW w:w="1134" w:type="dxa"/>
            <w:vMerge/>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c>
          <w:tcPr>
            <w:tcW w:w="992"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Оплата праці</w:t>
            </w:r>
          </w:p>
        </w:tc>
        <w:tc>
          <w:tcPr>
            <w:tcW w:w="993"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комунальні послуги та енергоносії</w:t>
            </w:r>
          </w:p>
        </w:tc>
        <w:tc>
          <w:tcPr>
            <w:tcW w:w="425" w:type="dxa"/>
            <w:vMerge/>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r>
      <w:tr w:rsidR="00D5421C" w:rsidRPr="00A43254" w:rsidTr="00316615">
        <w:tc>
          <w:tcPr>
            <w:tcW w:w="993"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w:t>
            </w:r>
          </w:p>
        </w:tc>
        <w:tc>
          <w:tcPr>
            <w:tcW w:w="709"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w:t>
            </w:r>
          </w:p>
        </w:tc>
        <w:tc>
          <w:tcPr>
            <w:tcW w:w="3827"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3</w:t>
            </w:r>
          </w:p>
        </w:tc>
        <w:tc>
          <w:tcPr>
            <w:tcW w:w="992"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4</w:t>
            </w:r>
          </w:p>
        </w:tc>
        <w:tc>
          <w:tcPr>
            <w:tcW w:w="1134"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5</w:t>
            </w:r>
          </w:p>
        </w:tc>
        <w:tc>
          <w:tcPr>
            <w:tcW w:w="992"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w:t>
            </w:r>
          </w:p>
        </w:tc>
        <w:tc>
          <w:tcPr>
            <w:tcW w:w="993"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7</w:t>
            </w:r>
          </w:p>
        </w:tc>
        <w:tc>
          <w:tcPr>
            <w:tcW w:w="425"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8</w:t>
            </w: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
                <w:bCs/>
                <w:sz w:val="20"/>
                <w:szCs w:val="20"/>
              </w:rPr>
            </w:pPr>
            <w:proofErr w:type="spellStart"/>
            <w:r w:rsidRPr="00A43254">
              <w:rPr>
                <w:rFonts w:ascii="Times New Roman" w:hAnsi="Times New Roman" w:cs="Times New Roman"/>
                <w:b/>
                <w:bCs/>
                <w:sz w:val="20"/>
                <w:szCs w:val="20"/>
              </w:rPr>
              <w:t>Міська</w:t>
            </w:r>
            <w:proofErr w:type="spellEnd"/>
            <w:r w:rsidRPr="00A43254">
              <w:rPr>
                <w:rFonts w:ascii="Times New Roman" w:hAnsi="Times New Roman" w:cs="Times New Roman"/>
                <w:b/>
                <w:bCs/>
                <w:sz w:val="20"/>
                <w:szCs w:val="20"/>
              </w:rPr>
              <w:t xml:space="preserve"> рада</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305 000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305 000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0113192</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3192</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Надання фінансової підтримки громадським організаціям ветеранів і осіб з інвалідністю, діяльність яких має соціальну спрямованість</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45 000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Забезпечення діяльності палаців i будинків культури, клубів, центрів дозвілля та </w:t>
            </w:r>
            <w:proofErr w:type="spellStart"/>
            <w:r w:rsidRPr="00A43254">
              <w:rPr>
                <w:rFonts w:ascii="Times New Roman" w:hAnsi="Times New Roman" w:cs="Times New Roman"/>
                <w:bCs/>
                <w:sz w:val="20"/>
                <w:szCs w:val="20"/>
                <w:lang w:val="uk-UA"/>
              </w:rPr>
              <w:t>iнших</w:t>
            </w:r>
            <w:proofErr w:type="spellEnd"/>
            <w:r w:rsidRPr="00A43254">
              <w:rPr>
                <w:rFonts w:ascii="Times New Roman" w:hAnsi="Times New Roman" w:cs="Times New Roman"/>
                <w:bCs/>
                <w:sz w:val="20"/>
                <w:szCs w:val="20"/>
                <w:lang w:val="uk-UA"/>
              </w:rPr>
              <w:t xml:space="preserve"> клубних закладів</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200 000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0116015</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6015</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Забезпечення надійної та безперебійної експлуатації ліфтів</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60 000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60 000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Управління освіти, молоді та спорту</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651 200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651 200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326 000</w:t>
            </w: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0611010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1010</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Надання дошкільної освіти</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112 500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112 500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Надання загальної середньої освіти загальноосвітніми навчальними </w:t>
            </w:r>
            <w:r w:rsidRPr="00A43254">
              <w:rPr>
                <w:rFonts w:ascii="Times New Roman" w:hAnsi="Times New Roman" w:cs="Times New Roman"/>
                <w:bCs/>
                <w:sz w:val="20"/>
                <w:szCs w:val="20"/>
                <w:lang w:val="uk-UA"/>
              </w:rPr>
              <w:lastRenderedPageBreak/>
              <w:t>закладами ( в т. ч. школою-дитячим садком, інтернатом при школі), спеціалізованими школами, ліцеями, гімназіями, колегіумами</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lastRenderedPageBreak/>
              <w:t>538 700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538 700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rPr>
                <w:rFonts w:ascii="Times New Roman" w:hAnsi="Times New Roman" w:cs="Times New Roman"/>
                <w:b/>
                <w:sz w:val="20"/>
                <w:szCs w:val="20"/>
                <w:lang w:val="uk-UA"/>
              </w:rPr>
            </w:pPr>
            <w:r w:rsidRPr="00A43254">
              <w:rPr>
                <w:rFonts w:ascii="Times New Roman" w:hAnsi="Times New Roman" w:cs="Times New Roman"/>
                <w:b/>
                <w:sz w:val="20"/>
                <w:szCs w:val="20"/>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956 200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956 200</w:t>
            </w: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32600</w:t>
            </w:r>
            <w:r w:rsidRPr="00A43254">
              <w:rPr>
                <w:rFonts w:ascii="Times New Roman" w:hAnsi="Times New Roman" w:cs="Times New Roman"/>
                <w:b/>
                <w:bCs/>
                <w:sz w:val="20"/>
                <w:szCs w:val="20"/>
                <w:lang w:val="uk-UA"/>
              </w:rPr>
              <w:t>0</w:t>
            </w:r>
          </w:p>
        </w:tc>
        <w:tc>
          <w:tcPr>
            <w:tcW w:w="425"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0" w:line="240" w:lineRule="auto"/>
              <w:jc w:val="center"/>
              <w:rPr>
                <w:rFonts w:ascii="Times New Roman" w:hAnsi="Times New Roman" w:cs="Times New Roman"/>
                <w:b/>
                <w:sz w:val="20"/>
                <w:szCs w:val="20"/>
                <w:lang w:val="uk-UA"/>
              </w:rPr>
            </w:pPr>
          </w:p>
        </w:tc>
      </w:tr>
    </w:tbl>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по КПКВКМБ 0611020 «Надання загальної середньої освіти загальноос</w:t>
      </w:r>
      <w:r>
        <w:rPr>
          <w:rFonts w:ascii="Times New Roman" w:hAnsi="Times New Roman" w:cs="Times New Roman"/>
          <w:sz w:val="24"/>
          <w:szCs w:val="24"/>
          <w:lang w:val="uk-UA"/>
        </w:rPr>
        <w:t>вітніми навчальними закладами (</w:t>
      </w:r>
      <w:r w:rsidRPr="00A43254">
        <w:rPr>
          <w:rFonts w:ascii="Times New Roman" w:hAnsi="Times New Roman" w:cs="Times New Roman"/>
          <w:sz w:val="24"/>
          <w:szCs w:val="24"/>
          <w:lang w:val="uk-UA"/>
        </w:rPr>
        <w:t>в т. ч. школою-дитячим садком, інтернатом при школі), спеціалізованими школами, ліцеями, гімназіями, колегіумами» на суму 53 800 грн. (головний р</w:t>
      </w:r>
      <w:r>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r>
        <w:rPr>
          <w:rFonts w:ascii="Times New Roman" w:hAnsi="Times New Roman" w:cs="Times New Roman"/>
          <w:sz w:val="24"/>
          <w:szCs w:val="24"/>
          <w:lang w:val="uk-UA"/>
        </w:rPr>
        <w:t>.</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1.1.3.</w:t>
      </w:r>
      <w:r w:rsidRPr="00A43254">
        <w:rPr>
          <w:rFonts w:ascii="Times New Roman" w:hAnsi="Times New Roman" w:cs="Times New Roman"/>
          <w:sz w:val="24"/>
          <w:szCs w:val="24"/>
          <w:lang w:val="uk-UA"/>
        </w:rPr>
        <w:t>Збільшити видатки загального фонду міського бюджету на суму 177 800</w:t>
      </w:r>
      <w:r>
        <w:rPr>
          <w:rFonts w:ascii="Times New Roman" w:hAnsi="Times New Roman" w:cs="Times New Roman"/>
          <w:sz w:val="24"/>
          <w:szCs w:val="24"/>
          <w:lang w:val="uk-UA"/>
        </w:rPr>
        <w:t xml:space="preserve"> грн.</w:t>
      </w:r>
      <w:r w:rsidRPr="00A43254">
        <w:rPr>
          <w:rFonts w:ascii="Times New Roman" w:hAnsi="Times New Roman" w:cs="Times New Roman"/>
          <w:sz w:val="24"/>
          <w:szCs w:val="24"/>
          <w:lang w:val="uk-UA"/>
        </w:rPr>
        <w:t>, в тому числі: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567"/>
        <w:gridCol w:w="992"/>
        <w:gridCol w:w="709"/>
      </w:tblGrid>
      <w:tr w:rsidR="00D5421C" w:rsidRPr="00155D35" w:rsidTr="00316615">
        <w:trPr>
          <w:cantSplit/>
        </w:trPr>
        <w:tc>
          <w:tcPr>
            <w:tcW w:w="993" w:type="dxa"/>
            <w:vMerge w:val="restart"/>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3827" w:type="dxa"/>
            <w:vMerge w:val="restart"/>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1134" w:type="dxa"/>
            <w:vMerge w:val="restart"/>
            <w:vAlign w:val="center"/>
          </w:tcPr>
          <w:p w:rsidR="00D5421C" w:rsidRPr="00155D35" w:rsidRDefault="00D5421C" w:rsidP="00316615">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видатки споживання</w:t>
            </w:r>
          </w:p>
        </w:tc>
        <w:tc>
          <w:tcPr>
            <w:tcW w:w="1559" w:type="dxa"/>
            <w:gridSpan w:val="2"/>
            <w:vAlign w:val="center"/>
          </w:tcPr>
          <w:p w:rsidR="00D5421C" w:rsidRPr="00155D35" w:rsidRDefault="00D5421C" w:rsidP="00316615">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З них</w:t>
            </w:r>
          </w:p>
        </w:tc>
        <w:tc>
          <w:tcPr>
            <w:tcW w:w="709" w:type="dxa"/>
            <w:vMerge w:val="restart"/>
            <w:vAlign w:val="center"/>
          </w:tcPr>
          <w:p w:rsidR="00D5421C" w:rsidRPr="00155D35" w:rsidRDefault="00D5421C" w:rsidP="00316615">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видатки розвитку</w:t>
            </w:r>
          </w:p>
        </w:tc>
      </w:tr>
      <w:tr w:rsidR="00D5421C" w:rsidRPr="00155D35" w:rsidTr="00316615">
        <w:trPr>
          <w:cantSplit/>
        </w:trPr>
        <w:tc>
          <w:tcPr>
            <w:tcW w:w="993" w:type="dxa"/>
            <w:vMerge/>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c>
          <w:tcPr>
            <w:tcW w:w="709" w:type="dxa"/>
            <w:vMerge/>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c>
          <w:tcPr>
            <w:tcW w:w="3827" w:type="dxa"/>
            <w:vMerge/>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c>
          <w:tcPr>
            <w:tcW w:w="1134" w:type="dxa"/>
            <w:vMerge/>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c>
          <w:tcPr>
            <w:tcW w:w="1134" w:type="dxa"/>
            <w:vMerge/>
            <w:vAlign w:val="center"/>
          </w:tcPr>
          <w:p w:rsidR="00D5421C" w:rsidRPr="00155D35" w:rsidRDefault="00D5421C" w:rsidP="00316615">
            <w:pPr>
              <w:spacing w:after="100" w:afterAutospacing="1" w:line="240" w:lineRule="auto"/>
              <w:jc w:val="center"/>
              <w:rPr>
                <w:rFonts w:ascii="Times New Roman" w:hAnsi="Times New Roman" w:cs="Times New Roman"/>
                <w:sz w:val="20"/>
                <w:szCs w:val="20"/>
                <w:lang w:val="uk-UA"/>
              </w:rPr>
            </w:pPr>
          </w:p>
        </w:tc>
        <w:tc>
          <w:tcPr>
            <w:tcW w:w="567" w:type="dxa"/>
            <w:vAlign w:val="center"/>
          </w:tcPr>
          <w:p w:rsidR="00D5421C" w:rsidRPr="00155D35" w:rsidRDefault="00D5421C" w:rsidP="00316615">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Оплата праці</w:t>
            </w:r>
          </w:p>
        </w:tc>
        <w:tc>
          <w:tcPr>
            <w:tcW w:w="992" w:type="dxa"/>
            <w:vAlign w:val="center"/>
          </w:tcPr>
          <w:p w:rsidR="00D5421C" w:rsidRPr="00155D35" w:rsidRDefault="00D5421C" w:rsidP="00316615">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комунальні послуги та енергоносії</w:t>
            </w:r>
          </w:p>
        </w:tc>
        <w:tc>
          <w:tcPr>
            <w:tcW w:w="709" w:type="dxa"/>
            <w:vMerge/>
            <w:vAlign w:val="center"/>
          </w:tcPr>
          <w:p w:rsidR="00D5421C" w:rsidRPr="00155D35" w:rsidRDefault="00D5421C" w:rsidP="00316615">
            <w:pPr>
              <w:spacing w:after="100" w:afterAutospacing="1" w:line="240" w:lineRule="auto"/>
              <w:jc w:val="center"/>
              <w:rPr>
                <w:rFonts w:ascii="Times New Roman" w:hAnsi="Times New Roman" w:cs="Times New Roman"/>
                <w:sz w:val="20"/>
                <w:szCs w:val="20"/>
                <w:lang w:val="uk-UA"/>
              </w:rPr>
            </w:pPr>
          </w:p>
        </w:tc>
      </w:tr>
      <w:tr w:rsidR="00D5421C" w:rsidRPr="00A43254" w:rsidTr="00316615">
        <w:tc>
          <w:tcPr>
            <w:tcW w:w="993"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w:t>
            </w:r>
          </w:p>
        </w:tc>
        <w:tc>
          <w:tcPr>
            <w:tcW w:w="709"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w:t>
            </w:r>
          </w:p>
        </w:tc>
        <w:tc>
          <w:tcPr>
            <w:tcW w:w="3827"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3</w:t>
            </w:r>
          </w:p>
        </w:tc>
        <w:tc>
          <w:tcPr>
            <w:tcW w:w="1134"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4</w:t>
            </w:r>
          </w:p>
        </w:tc>
        <w:tc>
          <w:tcPr>
            <w:tcW w:w="1134"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5</w:t>
            </w:r>
          </w:p>
        </w:tc>
        <w:tc>
          <w:tcPr>
            <w:tcW w:w="567"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w:t>
            </w:r>
          </w:p>
        </w:tc>
        <w:tc>
          <w:tcPr>
            <w:tcW w:w="992"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7</w:t>
            </w:r>
          </w:p>
        </w:tc>
        <w:tc>
          <w:tcPr>
            <w:tcW w:w="709" w:type="dxa"/>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8</w:t>
            </w: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rPr>
                <w:rFonts w:ascii="Times New Roman" w:hAnsi="Times New Roman" w:cs="Times New Roman"/>
                <w:b/>
                <w:bCs/>
                <w:sz w:val="20"/>
                <w:szCs w:val="20"/>
              </w:rPr>
            </w:pPr>
            <w:proofErr w:type="spellStart"/>
            <w:r w:rsidRPr="00A43254">
              <w:rPr>
                <w:rFonts w:ascii="Times New Roman" w:hAnsi="Times New Roman" w:cs="Times New Roman"/>
                <w:b/>
                <w:bCs/>
                <w:sz w:val="20"/>
                <w:szCs w:val="20"/>
              </w:rPr>
              <w:t>Міська</w:t>
            </w:r>
            <w:proofErr w:type="spellEnd"/>
            <w:r w:rsidRPr="00A43254">
              <w:rPr>
                <w:rFonts w:ascii="Times New Roman" w:hAnsi="Times New Roman" w:cs="Times New Roman"/>
                <w:b/>
                <w:bCs/>
                <w:sz w:val="20"/>
                <w:szCs w:val="20"/>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56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Забезпечення діяльності палаців i будинків культури, клубів, центрів дозвілля та </w:t>
            </w:r>
            <w:proofErr w:type="spellStart"/>
            <w:r w:rsidRPr="00A43254">
              <w:rPr>
                <w:rFonts w:ascii="Times New Roman" w:hAnsi="Times New Roman" w:cs="Times New Roman"/>
                <w:bCs/>
                <w:sz w:val="20"/>
                <w:szCs w:val="20"/>
                <w:lang w:val="uk-UA"/>
              </w:rPr>
              <w:t>iнших</w:t>
            </w:r>
            <w:proofErr w:type="spellEnd"/>
            <w:r w:rsidRPr="00A43254">
              <w:rPr>
                <w:rFonts w:ascii="Times New Roman" w:hAnsi="Times New Roman" w:cs="Times New Roman"/>
                <w:bCs/>
                <w:sz w:val="20"/>
                <w:szCs w:val="20"/>
                <w:lang w:val="uk-UA"/>
              </w:rPr>
              <w:t xml:space="preserve"> клубних закладів</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114 000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114 000</w:t>
            </w:r>
          </w:p>
        </w:tc>
        <w:tc>
          <w:tcPr>
            <w:tcW w:w="56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0116011</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6011</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Експлуатація та технічне обслуговування житлового фонду</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2 700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2 700</w:t>
            </w:r>
          </w:p>
        </w:tc>
        <w:tc>
          <w:tcPr>
            <w:tcW w:w="56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6030</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Організація благоустрою населених пунктів</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37 000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37 000</w:t>
            </w:r>
          </w:p>
        </w:tc>
        <w:tc>
          <w:tcPr>
            <w:tcW w:w="56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0117130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7130</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Здійснення заходів із землеустрою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21 600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21 600</w:t>
            </w:r>
          </w:p>
        </w:tc>
        <w:tc>
          <w:tcPr>
            <w:tcW w:w="56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0117680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7680</w:t>
            </w: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Членські внески до асоціацій органів місцевого самоврядування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2 500 </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2 500</w:t>
            </w:r>
          </w:p>
        </w:tc>
        <w:tc>
          <w:tcPr>
            <w:tcW w:w="56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r>
      <w:tr w:rsidR="00D5421C" w:rsidRPr="00A43254" w:rsidTr="00316615">
        <w:tc>
          <w:tcPr>
            <w:tcW w:w="993"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rPr>
                <w:rFonts w:ascii="Times New Roman" w:hAnsi="Times New Roman" w:cs="Times New Roman"/>
                <w:b/>
                <w:sz w:val="20"/>
                <w:szCs w:val="20"/>
                <w:lang w:val="uk-UA"/>
              </w:rPr>
            </w:pPr>
            <w:r w:rsidRPr="00A43254">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1134"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567"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D5421C" w:rsidRPr="00A43254" w:rsidRDefault="00D5421C" w:rsidP="00316615">
            <w:pPr>
              <w:spacing w:after="100" w:afterAutospacing="1" w:line="240" w:lineRule="auto"/>
              <w:jc w:val="center"/>
              <w:rPr>
                <w:rFonts w:ascii="Times New Roman" w:hAnsi="Times New Roman" w:cs="Times New Roman"/>
                <w:b/>
                <w:sz w:val="20"/>
                <w:szCs w:val="20"/>
                <w:lang w:val="uk-UA"/>
              </w:rPr>
            </w:pPr>
          </w:p>
        </w:tc>
      </w:tr>
    </w:tbl>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1.1.4.Збільшити видатки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на суму 989 200</w:t>
      </w:r>
      <w:r>
        <w:rPr>
          <w:rFonts w:ascii="Times New Roman" w:hAnsi="Times New Roman" w:cs="Times New Roman"/>
          <w:sz w:val="24"/>
          <w:szCs w:val="24"/>
          <w:lang w:val="uk-UA"/>
        </w:rPr>
        <w:t xml:space="preserve"> грн.</w:t>
      </w:r>
      <w:r w:rsidRPr="00A43254">
        <w:rPr>
          <w:rFonts w:ascii="Times New Roman" w:hAnsi="Times New Roman" w:cs="Times New Roman"/>
          <w:sz w:val="24"/>
          <w:szCs w:val="24"/>
          <w:lang w:val="uk-UA"/>
        </w:rPr>
        <w:t>, в тому числі:</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1984"/>
        <w:gridCol w:w="1134"/>
        <w:gridCol w:w="709"/>
        <w:gridCol w:w="709"/>
        <w:gridCol w:w="850"/>
        <w:gridCol w:w="992"/>
        <w:gridCol w:w="1080"/>
        <w:gridCol w:w="1080"/>
      </w:tblGrid>
      <w:tr w:rsidR="00D5421C" w:rsidRPr="00A43254" w:rsidTr="00316615">
        <w:tc>
          <w:tcPr>
            <w:tcW w:w="959"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1984" w:type="dxa"/>
            <w:vMerge w:val="restart"/>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709" w:type="dxa"/>
            <w:vMerge w:val="restart"/>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Споживання</w:t>
            </w:r>
          </w:p>
        </w:tc>
        <w:tc>
          <w:tcPr>
            <w:tcW w:w="1559" w:type="dxa"/>
            <w:gridSpan w:val="2"/>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c>
          <w:tcPr>
            <w:tcW w:w="992" w:type="dxa"/>
            <w:vMerge w:val="restart"/>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Розвитку</w:t>
            </w:r>
          </w:p>
        </w:tc>
        <w:tc>
          <w:tcPr>
            <w:tcW w:w="2160" w:type="dxa"/>
            <w:gridSpan w:val="2"/>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r>
      <w:tr w:rsidR="00D5421C" w:rsidRPr="00A43254" w:rsidTr="00316615">
        <w:trPr>
          <w:trHeight w:val="999"/>
        </w:trPr>
        <w:tc>
          <w:tcPr>
            <w:tcW w:w="959" w:type="dxa"/>
            <w:vMerge/>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1984" w:type="dxa"/>
            <w:vMerge/>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1134" w:type="dxa"/>
            <w:vMerge/>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Оплата праці</w:t>
            </w:r>
          </w:p>
          <w:p w:rsidR="00D5421C" w:rsidRPr="00A43254" w:rsidRDefault="00D5421C" w:rsidP="00316615">
            <w:pPr>
              <w:spacing w:after="0" w:line="240" w:lineRule="auto"/>
              <w:jc w:val="center"/>
              <w:rPr>
                <w:rFonts w:ascii="Times New Roman" w:hAnsi="Times New Roman" w:cs="Times New Roman"/>
                <w:sz w:val="20"/>
                <w:szCs w:val="20"/>
                <w:lang w:val="uk-UA"/>
              </w:rPr>
            </w:pPr>
          </w:p>
        </w:tc>
        <w:tc>
          <w:tcPr>
            <w:tcW w:w="850" w:type="dxa"/>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Комунальні послуги та енергоносії</w:t>
            </w:r>
          </w:p>
        </w:tc>
        <w:tc>
          <w:tcPr>
            <w:tcW w:w="992" w:type="dxa"/>
            <w:vMerge/>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1080" w:type="dxa"/>
            <w:vAlign w:val="center"/>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Бюджет розвитку</w:t>
            </w:r>
          </w:p>
        </w:tc>
        <w:tc>
          <w:tcPr>
            <w:tcW w:w="1080" w:type="dxa"/>
            <w:vAlign w:val="center"/>
          </w:tcPr>
          <w:p w:rsidR="00D5421C" w:rsidRPr="00A43254" w:rsidRDefault="00D5421C" w:rsidP="00316615">
            <w:pPr>
              <w:tabs>
                <w:tab w:val="left" w:pos="10100"/>
              </w:tabs>
              <w:spacing w:after="0" w:line="240" w:lineRule="auto"/>
              <w:ind w:right="44"/>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D5421C" w:rsidRPr="00A43254" w:rsidTr="00316615">
        <w:tc>
          <w:tcPr>
            <w:tcW w:w="959" w:type="dxa"/>
            <w:vAlign w:val="center"/>
          </w:tcPr>
          <w:p w:rsidR="00D5421C" w:rsidRPr="00A43254" w:rsidRDefault="00D5421C" w:rsidP="00316615">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vAlign w:val="center"/>
          </w:tcPr>
          <w:p w:rsidR="00D5421C" w:rsidRPr="00A43254" w:rsidRDefault="00D5421C" w:rsidP="00316615">
            <w:pPr>
              <w:spacing w:after="0" w:line="240" w:lineRule="auto"/>
              <w:jc w:val="center"/>
              <w:rPr>
                <w:rFonts w:ascii="Times New Roman" w:hAnsi="Times New Roman" w:cs="Times New Roman"/>
                <w:b/>
                <w:bCs/>
                <w:sz w:val="20"/>
                <w:szCs w:val="20"/>
              </w:rPr>
            </w:pPr>
          </w:p>
        </w:tc>
        <w:tc>
          <w:tcPr>
            <w:tcW w:w="1984" w:type="dxa"/>
            <w:vAlign w:val="center"/>
          </w:tcPr>
          <w:p w:rsidR="00D5421C" w:rsidRPr="00A43254" w:rsidRDefault="00D5421C" w:rsidP="00316615">
            <w:pPr>
              <w:spacing w:after="0" w:line="240" w:lineRule="auto"/>
              <w:rPr>
                <w:rFonts w:ascii="Times New Roman" w:hAnsi="Times New Roman" w:cs="Times New Roman"/>
                <w:b/>
                <w:bCs/>
                <w:sz w:val="20"/>
                <w:szCs w:val="20"/>
              </w:rPr>
            </w:pPr>
            <w:proofErr w:type="spellStart"/>
            <w:r w:rsidRPr="00A43254">
              <w:rPr>
                <w:rFonts w:ascii="Times New Roman" w:hAnsi="Times New Roman" w:cs="Times New Roman"/>
                <w:b/>
                <w:bCs/>
                <w:sz w:val="20"/>
                <w:szCs w:val="20"/>
              </w:rPr>
              <w:t>Міська</w:t>
            </w:r>
            <w:proofErr w:type="spellEnd"/>
            <w:r w:rsidRPr="00A43254">
              <w:rPr>
                <w:rFonts w:ascii="Times New Roman" w:hAnsi="Times New Roman" w:cs="Times New Roman"/>
                <w:b/>
                <w:bCs/>
                <w:sz w:val="20"/>
                <w:szCs w:val="20"/>
              </w:rPr>
              <w:t xml:space="preserve"> рада</w:t>
            </w:r>
          </w:p>
        </w:tc>
        <w:tc>
          <w:tcPr>
            <w:tcW w:w="1134"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b/>
                <w:sz w:val="20"/>
                <w:szCs w:val="20"/>
                <w:lang w:val="uk-UA"/>
              </w:rPr>
            </w:pP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b/>
                <w:sz w:val="20"/>
                <w:szCs w:val="20"/>
                <w:lang w:val="uk-UA"/>
              </w:rPr>
            </w:pPr>
          </w:p>
        </w:tc>
        <w:tc>
          <w:tcPr>
            <w:tcW w:w="850" w:type="dxa"/>
          </w:tcPr>
          <w:p w:rsidR="00D5421C" w:rsidRPr="00A43254" w:rsidRDefault="00D5421C" w:rsidP="00316615">
            <w:pPr>
              <w:tabs>
                <w:tab w:val="left" w:pos="10100"/>
              </w:tabs>
              <w:spacing w:after="0" w:line="240" w:lineRule="auto"/>
              <w:jc w:val="center"/>
              <w:rPr>
                <w:rFonts w:ascii="Times New Roman" w:hAnsi="Times New Roman" w:cs="Times New Roman"/>
                <w:b/>
                <w:sz w:val="20"/>
                <w:szCs w:val="20"/>
                <w:lang w:val="uk-UA"/>
              </w:rPr>
            </w:pPr>
          </w:p>
        </w:tc>
        <w:tc>
          <w:tcPr>
            <w:tcW w:w="992"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988 200</w:t>
            </w:r>
          </w:p>
        </w:tc>
      </w:tr>
      <w:tr w:rsidR="00D5421C" w:rsidRPr="00A43254" w:rsidTr="00316615">
        <w:trPr>
          <w:trHeight w:val="3087"/>
        </w:trPr>
        <w:tc>
          <w:tcPr>
            <w:tcW w:w="959"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lastRenderedPageBreak/>
              <w:t>0110150</w:t>
            </w:r>
          </w:p>
        </w:tc>
        <w:tc>
          <w:tcPr>
            <w:tcW w:w="709" w:type="dxa"/>
            <w:vAlign w:val="center"/>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0150</w:t>
            </w:r>
          </w:p>
        </w:tc>
        <w:tc>
          <w:tcPr>
            <w:tcW w:w="1984" w:type="dxa"/>
            <w:vAlign w:val="center"/>
          </w:tcPr>
          <w:p w:rsidR="00D5421C" w:rsidRPr="00A43254" w:rsidRDefault="00D5421C" w:rsidP="00316615">
            <w:pPr>
              <w:spacing w:after="0" w:line="240" w:lineRule="auto"/>
              <w:rPr>
                <w:rFonts w:ascii="Times New Roman" w:hAnsi="Times New Roman" w:cs="Times New Roman"/>
                <w:sz w:val="20"/>
                <w:szCs w:val="20"/>
                <w:lang w:val="uk-UA"/>
              </w:rPr>
            </w:pPr>
            <w:r w:rsidRPr="00A43254">
              <w:rPr>
                <w:rFonts w:ascii="Times New Roman" w:hAnsi="Times New Roman" w:cs="Times New Roman"/>
                <w:sz w:val="20"/>
                <w:szCs w:val="2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850"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992"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r>
      <w:tr w:rsidR="00D5421C" w:rsidRPr="00A43254" w:rsidTr="00316615">
        <w:tc>
          <w:tcPr>
            <w:tcW w:w="95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0116030</w:t>
            </w:r>
          </w:p>
        </w:tc>
        <w:tc>
          <w:tcPr>
            <w:tcW w:w="70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6030</w:t>
            </w:r>
          </w:p>
        </w:tc>
        <w:tc>
          <w:tcPr>
            <w:tcW w:w="1984" w:type="dxa"/>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Організація благоустрою населених пунктів</w:t>
            </w:r>
          </w:p>
        </w:tc>
        <w:tc>
          <w:tcPr>
            <w:tcW w:w="1134"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850"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992"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r>
      <w:tr w:rsidR="00D5421C" w:rsidRPr="00A43254" w:rsidTr="00316615">
        <w:tc>
          <w:tcPr>
            <w:tcW w:w="95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0117367</w:t>
            </w:r>
          </w:p>
        </w:tc>
        <w:tc>
          <w:tcPr>
            <w:tcW w:w="70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7367</w:t>
            </w:r>
          </w:p>
        </w:tc>
        <w:tc>
          <w:tcPr>
            <w:tcW w:w="1984" w:type="dxa"/>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Виконання інвестиційних проектів в рамках реалізації заходів, спрямованих на розвиток системи охорони здоров`я у сільській місцевості</w:t>
            </w:r>
          </w:p>
        </w:tc>
        <w:tc>
          <w:tcPr>
            <w:tcW w:w="1134"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850"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992"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r>
      <w:tr w:rsidR="00D5421C" w:rsidRPr="00A43254" w:rsidTr="00316615">
        <w:tc>
          <w:tcPr>
            <w:tcW w:w="95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0117650</w:t>
            </w:r>
          </w:p>
        </w:tc>
        <w:tc>
          <w:tcPr>
            <w:tcW w:w="70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7650</w:t>
            </w:r>
          </w:p>
        </w:tc>
        <w:tc>
          <w:tcPr>
            <w:tcW w:w="1984" w:type="dxa"/>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Проведення експертної грошової оцінки земельної ділянки чи права на неї</w:t>
            </w:r>
          </w:p>
        </w:tc>
        <w:tc>
          <w:tcPr>
            <w:tcW w:w="1134"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1 000</w:t>
            </w: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850"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992"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 xml:space="preserve">1 000 </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1 000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p>
        </w:tc>
      </w:tr>
      <w:tr w:rsidR="00D5421C" w:rsidRPr="00A43254" w:rsidTr="00316615">
        <w:tc>
          <w:tcPr>
            <w:tcW w:w="95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0117670</w:t>
            </w:r>
          </w:p>
        </w:tc>
        <w:tc>
          <w:tcPr>
            <w:tcW w:w="709" w:type="dxa"/>
            <w:vAlign w:val="center"/>
          </w:tcPr>
          <w:p w:rsidR="00D5421C" w:rsidRPr="00A43254" w:rsidRDefault="00D5421C" w:rsidP="00316615">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7670</w:t>
            </w:r>
          </w:p>
        </w:tc>
        <w:tc>
          <w:tcPr>
            <w:tcW w:w="1984" w:type="dxa"/>
            <w:vAlign w:val="center"/>
          </w:tcPr>
          <w:p w:rsidR="00D5421C" w:rsidRPr="00A43254" w:rsidRDefault="00D5421C" w:rsidP="00316615">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Внески до статутного капіталу суб`єктів господарювання</w:t>
            </w:r>
          </w:p>
        </w:tc>
        <w:tc>
          <w:tcPr>
            <w:tcW w:w="1134"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850" w:type="dxa"/>
          </w:tcPr>
          <w:p w:rsidR="00D5421C" w:rsidRPr="00A43254" w:rsidRDefault="00D5421C" w:rsidP="00316615">
            <w:pPr>
              <w:tabs>
                <w:tab w:val="left" w:pos="10100"/>
              </w:tabs>
              <w:spacing w:after="0" w:line="240" w:lineRule="auto"/>
              <w:jc w:val="center"/>
              <w:rPr>
                <w:rFonts w:ascii="Times New Roman" w:hAnsi="Times New Roman" w:cs="Times New Roman"/>
                <w:sz w:val="20"/>
                <w:szCs w:val="20"/>
                <w:lang w:val="uk-UA"/>
              </w:rPr>
            </w:pPr>
          </w:p>
        </w:tc>
        <w:tc>
          <w:tcPr>
            <w:tcW w:w="992"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1080" w:type="dxa"/>
          </w:tcPr>
          <w:p w:rsidR="00D5421C" w:rsidRPr="00A43254" w:rsidRDefault="00D5421C" w:rsidP="00316615">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r>
      <w:tr w:rsidR="00D5421C" w:rsidRPr="00A43254" w:rsidTr="00316615">
        <w:tc>
          <w:tcPr>
            <w:tcW w:w="959" w:type="dxa"/>
          </w:tcPr>
          <w:p w:rsidR="00D5421C" w:rsidRPr="00A43254" w:rsidRDefault="00D5421C" w:rsidP="00316615">
            <w:pPr>
              <w:spacing w:after="0" w:line="240" w:lineRule="auto"/>
              <w:jc w:val="center"/>
              <w:rPr>
                <w:rFonts w:ascii="Times New Roman" w:hAnsi="Times New Roman" w:cs="Times New Roman"/>
                <w:b/>
                <w:bCs/>
                <w:lang w:val="uk-UA"/>
              </w:rPr>
            </w:pPr>
          </w:p>
        </w:tc>
        <w:tc>
          <w:tcPr>
            <w:tcW w:w="709" w:type="dxa"/>
            <w:vAlign w:val="center"/>
          </w:tcPr>
          <w:p w:rsidR="00D5421C" w:rsidRPr="00A43254" w:rsidRDefault="00D5421C" w:rsidP="00316615">
            <w:pPr>
              <w:spacing w:after="0" w:line="240" w:lineRule="auto"/>
              <w:jc w:val="center"/>
              <w:rPr>
                <w:rFonts w:ascii="Times New Roman" w:hAnsi="Times New Roman" w:cs="Times New Roman"/>
                <w:bCs/>
                <w:lang w:val="uk-UA"/>
              </w:rPr>
            </w:pPr>
          </w:p>
        </w:tc>
        <w:tc>
          <w:tcPr>
            <w:tcW w:w="1984" w:type="dxa"/>
            <w:vAlign w:val="center"/>
          </w:tcPr>
          <w:p w:rsidR="00D5421C" w:rsidRPr="00A43254" w:rsidRDefault="00D5421C" w:rsidP="00316615">
            <w:pPr>
              <w:spacing w:after="0" w:line="240" w:lineRule="auto"/>
              <w:rPr>
                <w:rFonts w:ascii="Times New Roman" w:hAnsi="Times New Roman" w:cs="Times New Roman"/>
                <w:b/>
                <w:lang w:val="uk-UA"/>
              </w:rPr>
            </w:pPr>
            <w:r w:rsidRPr="00A43254">
              <w:rPr>
                <w:rFonts w:ascii="Times New Roman" w:hAnsi="Times New Roman" w:cs="Times New Roman"/>
                <w:b/>
                <w:lang w:val="uk-UA"/>
              </w:rPr>
              <w:t>Всього</w:t>
            </w:r>
          </w:p>
        </w:tc>
        <w:tc>
          <w:tcPr>
            <w:tcW w:w="1134"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b/>
                <w:sz w:val="20"/>
                <w:szCs w:val="20"/>
                <w:lang w:val="uk-UA"/>
              </w:rPr>
            </w:pPr>
          </w:p>
        </w:tc>
        <w:tc>
          <w:tcPr>
            <w:tcW w:w="709" w:type="dxa"/>
          </w:tcPr>
          <w:p w:rsidR="00D5421C" w:rsidRPr="00A43254" w:rsidRDefault="00D5421C" w:rsidP="00316615">
            <w:pPr>
              <w:tabs>
                <w:tab w:val="left" w:pos="10100"/>
              </w:tabs>
              <w:spacing w:after="0" w:line="240" w:lineRule="auto"/>
              <w:jc w:val="center"/>
              <w:rPr>
                <w:rFonts w:ascii="Times New Roman" w:hAnsi="Times New Roman" w:cs="Times New Roman"/>
                <w:b/>
                <w:sz w:val="20"/>
                <w:szCs w:val="20"/>
                <w:lang w:val="uk-UA"/>
              </w:rPr>
            </w:pPr>
          </w:p>
        </w:tc>
        <w:tc>
          <w:tcPr>
            <w:tcW w:w="850" w:type="dxa"/>
          </w:tcPr>
          <w:p w:rsidR="00D5421C" w:rsidRPr="00A43254" w:rsidRDefault="00D5421C" w:rsidP="00316615">
            <w:pPr>
              <w:tabs>
                <w:tab w:val="left" w:pos="10100"/>
              </w:tabs>
              <w:spacing w:after="0" w:line="240" w:lineRule="auto"/>
              <w:jc w:val="center"/>
              <w:rPr>
                <w:rFonts w:ascii="Times New Roman" w:hAnsi="Times New Roman" w:cs="Times New Roman"/>
                <w:b/>
                <w:sz w:val="20"/>
                <w:szCs w:val="20"/>
                <w:lang w:val="uk-UA"/>
              </w:rPr>
            </w:pPr>
          </w:p>
        </w:tc>
        <w:tc>
          <w:tcPr>
            <w:tcW w:w="992"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D5421C" w:rsidRPr="00A43254" w:rsidRDefault="00D5421C" w:rsidP="00316615">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988 200</w:t>
            </w:r>
          </w:p>
        </w:tc>
      </w:tr>
    </w:tbl>
    <w:p w:rsidR="00D5421C" w:rsidRPr="00A43254" w:rsidRDefault="00D5421C" w:rsidP="00D5421C">
      <w:pPr>
        <w:spacing w:after="0" w:line="240" w:lineRule="auto"/>
        <w:ind w:firstLine="709"/>
        <w:jc w:val="both"/>
        <w:rPr>
          <w:rFonts w:ascii="Times New Roman" w:hAnsi="Times New Roman" w:cs="Times New Roman"/>
          <w:sz w:val="24"/>
          <w:szCs w:val="24"/>
          <w:lang w:val="uk-UA"/>
        </w:rPr>
      </w:pP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A43254">
        <w:rPr>
          <w:rFonts w:ascii="Times New Roman" w:hAnsi="Times New Roman" w:cs="Times New Roman"/>
          <w:sz w:val="24"/>
          <w:szCs w:val="24"/>
          <w:lang w:val="uk-UA"/>
        </w:rPr>
        <w:t>Перепланувати видатки міського бюджету.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 </w:t>
      </w:r>
      <w:r w:rsidRPr="00A43254">
        <w:rPr>
          <w:rFonts w:ascii="Times New Roman" w:hAnsi="Times New Roman" w:cs="Times New Roman"/>
          <w:sz w:val="24"/>
          <w:szCs w:val="24"/>
          <w:lang w:val="uk-UA"/>
        </w:rPr>
        <w:t>Зменшити видатки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по КПКВКМБ 0611020 «Надання загальної середньої освіти загальноос</w:t>
      </w:r>
      <w:r>
        <w:rPr>
          <w:rFonts w:ascii="Times New Roman" w:hAnsi="Times New Roman" w:cs="Times New Roman"/>
          <w:sz w:val="24"/>
          <w:szCs w:val="24"/>
          <w:lang w:val="uk-UA"/>
        </w:rPr>
        <w:t>вітніми навчальними закладами (</w:t>
      </w:r>
      <w:r w:rsidRPr="00A43254">
        <w:rPr>
          <w:rFonts w:ascii="Times New Roman" w:hAnsi="Times New Roman" w:cs="Times New Roman"/>
          <w:sz w:val="24"/>
          <w:szCs w:val="24"/>
          <w:lang w:val="uk-UA"/>
        </w:rPr>
        <w:t>в т. ч. школою-дитячим садком, інтернатом при школі), спеціалізованими школами, ліцеями, гімназіями, колегіумами» на суму 254 000 грн. (головний р</w:t>
      </w:r>
      <w:r>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r>
        <w:rPr>
          <w:rFonts w:ascii="Times New Roman" w:hAnsi="Times New Roman" w:cs="Times New Roman"/>
          <w:sz w:val="24"/>
          <w:szCs w:val="24"/>
          <w:lang w:val="uk-UA"/>
        </w:rPr>
        <w:t>.</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 xml:space="preserve">Збільшити видатки загального фонду міського бюджету по КПКВКМБ 0611161 «Забезпечення діяльності інших закладів у сфері освіти» на суму 254 000 грн., в тому числі оплата праці – 214 800 грн. (головний розпорядник – управління освіти. молоді та спорту). </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профіцит загального фонду та дефіцит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на суму 254 000 грн. за рахунок залишку коштів освітньої субвенції, який утворився в загальному фонді міського бюджету станом на 01.01.2018 році та був переданий до бюджету розвитку (спеціального фонду).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1.2.2. </w:t>
      </w:r>
      <w:r w:rsidRPr="00A43254">
        <w:rPr>
          <w:rFonts w:ascii="Times New Roman" w:hAnsi="Times New Roman" w:cs="Times New Roman"/>
          <w:sz w:val="24"/>
          <w:szCs w:val="24"/>
          <w:lang w:val="uk-UA"/>
        </w:rPr>
        <w:t>Зменшити видатки спеціального фонду міського бюджету по КПКВКМБ 0118311 «Охорона та раціональне використання природних ресурсів», заплановані за рахунок надходжень екологічного податку, та збільшити видатки спеціального фонду міського бюджету по КПКВКМБ 0118330 «Інша діяльність у сфері екології та охорони природних ресурсів» на суму 30 800 грн.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1.2.3. </w:t>
      </w:r>
      <w:r w:rsidRPr="00A43254">
        <w:rPr>
          <w:rFonts w:ascii="Times New Roman" w:hAnsi="Times New Roman" w:cs="Times New Roman"/>
          <w:sz w:val="24"/>
          <w:szCs w:val="24"/>
          <w:lang w:val="uk-UA"/>
        </w:rPr>
        <w:t>Зменшити видатки загального фонду міського бюджету та збільшити видатки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по КПКВКМБ 0112111 «Первинна медична допомога населенню, що надається центрами первинної медичної </w:t>
      </w:r>
      <w:r w:rsidRPr="00A43254">
        <w:rPr>
          <w:rFonts w:ascii="Times New Roman" w:hAnsi="Times New Roman" w:cs="Times New Roman"/>
          <w:sz w:val="24"/>
          <w:szCs w:val="24"/>
          <w:lang w:val="uk-UA"/>
        </w:rPr>
        <w:lastRenderedPageBreak/>
        <w:t>(медико-санітарної) допомоги» на суму 205 600 грн.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профіцит загального фонду та дефіцит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на суму 205 600 грн. за рахунок коштів, що передаються з загального фонду до бюджету розвитку (спеціального фонду).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1.2.4. </w:t>
      </w:r>
      <w:r w:rsidRPr="00A43254">
        <w:rPr>
          <w:rFonts w:ascii="Times New Roman" w:hAnsi="Times New Roman" w:cs="Times New Roman"/>
          <w:sz w:val="24"/>
          <w:szCs w:val="24"/>
          <w:lang w:val="uk-UA"/>
        </w:rPr>
        <w:t>Зменшити видатки загального фонду міського бюджету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по КПКВКМБ 0611090 «Надання позашкільної освіти позашкільними закладами освіти, заходи із позашкільної роботи з дітьми» на суму 11 200 грн. (головний розпорядник – управління освіти, 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по КПКВКМБ 0611090 «Надання позашкільної освіти позашкільними закладами освіти, заходи із позашкільної роботи з дітьми» на суму 10 000 грн. (головний розпорядник – управління освіти, 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w:t>
      </w:r>
      <w:r w:rsidRPr="00A43254">
        <w:rPr>
          <w:rFonts w:ascii="Times New Roman" w:hAnsi="Times New Roman" w:cs="Times New Roman"/>
          <w:sz w:val="24"/>
          <w:szCs w:val="24"/>
          <w:lang w:val="uk-UA"/>
        </w:rPr>
        <w:t>Зменшити видатки загального фонду міського бюджету та збільшити видатки спеціального фонду (бюджету розвитку)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119 700 грн. (головний розпорядник – управління освіти. 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профіцит загального фонду та дефіцит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 на суму 119 700 грн. за рахунок коштів, що передаються з загального фонду до бюджету розвитку (спеціального фонду).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A43254">
        <w:rPr>
          <w:rFonts w:ascii="Times New Roman" w:hAnsi="Times New Roman" w:cs="Times New Roman"/>
          <w:sz w:val="24"/>
          <w:szCs w:val="24"/>
          <w:lang w:val="uk-UA"/>
        </w:rPr>
        <w:t>Затвердити розпорядження секретаря міської ради від 20.07.2018р. №253/2018-р «Про внесення змін до міського бюджету»: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загального фонду міського бюджету по КПКВКМБ 0116030 «Організація благоустрою населених пунктів» на суму 746 110 грн..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видатки загального фонду міського</w:t>
      </w:r>
      <w:r>
        <w:rPr>
          <w:rFonts w:ascii="Times New Roman" w:hAnsi="Times New Roman" w:cs="Times New Roman"/>
          <w:sz w:val="24"/>
          <w:szCs w:val="24"/>
          <w:lang w:val="uk-UA"/>
        </w:rPr>
        <w:t xml:space="preserve"> бюджету на суму 399 512   грн.</w:t>
      </w:r>
      <w:r w:rsidRPr="00A43254">
        <w:rPr>
          <w:rFonts w:ascii="Times New Roman" w:hAnsi="Times New Roman" w:cs="Times New Roman"/>
          <w:sz w:val="24"/>
          <w:szCs w:val="24"/>
          <w:lang w:val="uk-UA"/>
        </w:rPr>
        <w:t>, в тому числі по КПКВКМБ:</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0114030 «Забезпечення діяльності бібліотек» - 22 700 грн.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 xml:space="preserve">0114060 «Забезпечення діяльності палаців i будинків культури, клубів, центрів дозвілля та </w:t>
      </w:r>
      <w:proofErr w:type="spellStart"/>
      <w:r w:rsidRPr="00A43254">
        <w:rPr>
          <w:rFonts w:ascii="Times New Roman" w:hAnsi="Times New Roman" w:cs="Times New Roman"/>
          <w:sz w:val="24"/>
          <w:szCs w:val="24"/>
          <w:lang w:val="uk-UA"/>
        </w:rPr>
        <w:t>iнших</w:t>
      </w:r>
      <w:proofErr w:type="spellEnd"/>
      <w:r w:rsidRPr="00A43254">
        <w:rPr>
          <w:rFonts w:ascii="Times New Roman" w:hAnsi="Times New Roman" w:cs="Times New Roman"/>
          <w:sz w:val="24"/>
          <w:szCs w:val="24"/>
          <w:lang w:val="uk-UA"/>
        </w:rPr>
        <w:t xml:space="preserve"> клубних закладів» - 76 223 грн.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0116030 «Організація благоустрою населених пунктів» - 136 730 грн.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- 52 670 грн. (головний розпорядник – управління освіти, 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0611090 «Надання позашкільної освіти позашкільними закладами освіти, заходи із позашкільної роботи з дітьми» - 39 620 грн. (головний р</w:t>
      </w:r>
      <w:r>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0615061 «Забезпечення діяльності місцевих центрів фізичного здоров`я населення «Спорт для всіх» та проведення фізкультурно-масових заході</w:t>
      </w:r>
      <w:r>
        <w:rPr>
          <w:rFonts w:ascii="Times New Roman" w:hAnsi="Times New Roman" w:cs="Times New Roman"/>
          <w:sz w:val="24"/>
          <w:szCs w:val="24"/>
          <w:lang w:val="uk-UA"/>
        </w:rPr>
        <w:t>в серед населення регіону» - 71 </w:t>
      </w:r>
      <w:r w:rsidRPr="00A43254">
        <w:rPr>
          <w:rFonts w:ascii="Times New Roman" w:hAnsi="Times New Roman" w:cs="Times New Roman"/>
          <w:sz w:val="24"/>
          <w:szCs w:val="24"/>
          <w:lang w:val="uk-UA"/>
        </w:rPr>
        <w:t>569 грн. (го</w:t>
      </w:r>
      <w:r>
        <w:rPr>
          <w:rFonts w:ascii="Times New Roman" w:hAnsi="Times New Roman" w:cs="Times New Roman"/>
          <w:sz w:val="24"/>
          <w:szCs w:val="24"/>
          <w:lang w:val="uk-UA"/>
        </w:rPr>
        <w:t>л</w:t>
      </w:r>
      <w:r w:rsidRPr="00A43254">
        <w:rPr>
          <w:rFonts w:ascii="Times New Roman" w:hAnsi="Times New Roman" w:cs="Times New Roman"/>
          <w:sz w:val="24"/>
          <w:szCs w:val="24"/>
          <w:lang w:val="uk-UA"/>
        </w:rPr>
        <w:t>овний розпорядник – управління освіти, 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lastRenderedPageBreak/>
        <w:t>Збільшити видатки спеціального фонду міського бюджету (</w:t>
      </w:r>
      <w:proofErr w:type="spellStart"/>
      <w:r w:rsidRPr="00A43254">
        <w:rPr>
          <w:rFonts w:ascii="Times New Roman" w:hAnsi="Times New Roman" w:cs="Times New Roman"/>
          <w:sz w:val="24"/>
          <w:szCs w:val="24"/>
          <w:lang w:val="uk-UA"/>
        </w:rPr>
        <w:t>бюджету</w:t>
      </w:r>
      <w:proofErr w:type="spellEnd"/>
      <w:r w:rsidRPr="00A43254">
        <w:rPr>
          <w:rFonts w:ascii="Times New Roman" w:hAnsi="Times New Roman" w:cs="Times New Roman"/>
          <w:sz w:val="24"/>
          <w:szCs w:val="24"/>
          <w:lang w:val="uk-UA"/>
        </w:rPr>
        <w:t xml:space="preserve"> розвитку)</w:t>
      </w:r>
      <w:r>
        <w:rPr>
          <w:rFonts w:ascii="Times New Roman" w:hAnsi="Times New Roman" w:cs="Times New Roman"/>
          <w:sz w:val="24"/>
          <w:szCs w:val="24"/>
          <w:lang w:val="uk-UA"/>
        </w:rPr>
        <w:t xml:space="preserve"> на суму  346 598  </w:t>
      </w:r>
      <w:proofErr w:type="spellStart"/>
      <w:r>
        <w:rPr>
          <w:rFonts w:ascii="Times New Roman" w:hAnsi="Times New Roman" w:cs="Times New Roman"/>
          <w:sz w:val="24"/>
          <w:szCs w:val="24"/>
          <w:lang w:val="uk-UA"/>
        </w:rPr>
        <w:t>грн</w:t>
      </w:r>
      <w:proofErr w:type="spellEnd"/>
      <w:r w:rsidRPr="00A43254">
        <w:rPr>
          <w:rFonts w:ascii="Times New Roman" w:hAnsi="Times New Roman" w:cs="Times New Roman"/>
          <w:sz w:val="24"/>
          <w:szCs w:val="24"/>
          <w:lang w:val="uk-UA"/>
        </w:rPr>
        <w:t>, в тому числі по КПКВКМБ:</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0114030 «Забезпечення діяль</w:t>
      </w:r>
      <w:r>
        <w:rPr>
          <w:rFonts w:ascii="Times New Roman" w:hAnsi="Times New Roman" w:cs="Times New Roman"/>
          <w:sz w:val="24"/>
          <w:szCs w:val="24"/>
          <w:lang w:val="uk-UA"/>
        </w:rPr>
        <w:t>ності бібліотек»  - 27 000 грн.</w:t>
      </w:r>
      <w:r w:rsidRPr="00A43254">
        <w:rPr>
          <w:rFonts w:ascii="Times New Roman" w:hAnsi="Times New Roman" w:cs="Times New Roman"/>
          <w:sz w:val="24"/>
          <w:szCs w:val="24"/>
          <w:lang w:val="uk-UA"/>
        </w:rPr>
        <w:t xml:space="preserve">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0116030 «Організація благоустрою населених пунктів» - 228 940 грн. (головний розпорядник – міська рада);</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- 43 922 грн. (головний розпорядник – управління освіти, 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0611090 «Надання позашкільної освіти позашкільними закладами освіти, заходи із позашкільної роботи з дітьми» - 10 380 грн. (головний р</w:t>
      </w:r>
      <w:r>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- 36 356 грн. (головний розпорядник – управління освіти, молоді та спорту).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346 598 грн. за рахунок коштів, що передаються з загального фонду до спеціального фонду (бюджету розвитку).</w:t>
      </w:r>
    </w:p>
    <w:p w:rsidR="00D5421C" w:rsidRPr="00A43254" w:rsidRDefault="00D5421C" w:rsidP="00D542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A43254">
        <w:rPr>
          <w:rFonts w:ascii="Times New Roman" w:hAnsi="Times New Roman" w:cs="Times New Roman"/>
          <w:sz w:val="24"/>
          <w:szCs w:val="24"/>
          <w:lang w:val="uk-UA"/>
        </w:rPr>
        <w:t>Додатки 1,2,3,4,5,6,7 до рішення сесії міської ради VІІ скликання від 22.12.2017р.         № 10-32/2017р “Про міський бюджет на 2018 рік” з урахуванням внесених змін викласти у новій редакції відповідно до даного рішення.</w:t>
      </w:r>
    </w:p>
    <w:p w:rsidR="00D5421C" w:rsidRPr="00CD13E1" w:rsidRDefault="00D5421C" w:rsidP="00D5421C">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Контроль за </w:t>
      </w:r>
      <w:r>
        <w:rPr>
          <w:rFonts w:ascii="Times New Roman" w:hAnsi="Times New Roman" w:cs="Times New Roman"/>
          <w:sz w:val="24"/>
          <w:szCs w:val="24"/>
          <w:lang w:val="uk-UA"/>
        </w:rPr>
        <w:t>виконанням рішення покласти на ф</w:t>
      </w:r>
      <w:r w:rsidRPr="00CD13E1">
        <w:rPr>
          <w:rFonts w:ascii="Times New Roman" w:hAnsi="Times New Roman" w:cs="Times New Roman"/>
          <w:sz w:val="24"/>
          <w:szCs w:val="24"/>
          <w:lang w:val="uk-UA"/>
        </w:rPr>
        <w:t xml:space="preserve">інансове управління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(Т.</w:t>
      </w:r>
      <w:proofErr w:type="spellStart"/>
      <w:r w:rsidRPr="00CD13E1">
        <w:rPr>
          <w:rFonts w:ascii="Times New Roman" w:hAnsi="Times New Roman" w:cs="Times New Roman"/>
          <w:sz w:val="24"/>
          <w:szCs w:val="24"/>
          <w:lang w:val="uk-UA"/>
        </w:rPr>
        <w:t>Абзалова</w:t>
      </w:r>
      <w:proofErr w:type="spellEnd"/>
      <w:r w:rsidRPr="00CD13E1">
        <w:rPr>
          <w:rFonts w:ascii="Times New Roman" w:hAnsi="Times New Roman" w:cs="Times New Roman"/>
          <w:sz w:val="24"/>
          <w:szCs w:val="24"/>
          <w:lang w:val="uk-UA"/>
        </w:rPr>
        <w:t>) та постійну комісію з питань планування, фінансів бюджету та соціально-економічного розвитку (голова комісії Д.</w:t>
      </w:r>
      <w:proofErr w:type="spellStart"/>
      <w:r w:rsidRPr="00CD13E1">
        <w:rPr>
          <w:rFonts w:ascii="Times New Roman" w:hAnsi="Times New Roman" w:cs="Times New Roman"/>
          <w:sz w:val="24"/>
          <w:szCs w:val="24"/>
          <w:lang w:val="uk-UA"/>
        </w:rPr>
        <w:t>Сусляк</w:t>
      </w:r>
      <w:proofErr w:type="spellEnd"/>
      <w:r w:rsidRPr="00CD13E1">
        <w:rPr>
          <w:rFonts w:ascii="Times New Roman" w:hAnsi="Times New Roman" w:cs="Times New Roman"/>
          <w:sz w:val="24"/>
          <w:szCs w:val="24"/>
          <w:lang w:val="uk-UA"/>
        </w:rPr>
        <w:t xml:space="preserve">). </w:t>
      </w:r>
    </w:p>
    <w:p w:rsidR="00D5421C" w:rsidRDefault="00D5421C" w:rsidP="00D5421C">
      <w:pPr>
        <w:spacing w:after="0" w:line="240" w:lineRule="auto"/>
        <w:jc w:val="both"/>
        <w:rPr>
          <w:rFonts w:ascii="Times New Roman" w:hAnsi="Times New Roman" w:cs="Times New Roman"/>
          <w:sz w:val="24"/>
          <w:szCs w:val="24"/>
          <w:lang w:val="uk-UA"/>
        </w:rPr>
      </w:pPr>
    </w:p>
    <w:p w:rsidR="00D5421C" w:rsidRDefault="00D5421C" w:rsidP="00D5421C">
      <w:pPr>
        <w:spacing w:after="0" w:line="240" w:lineRule="auto"/>
        <w:jc w:val="both"/>
        <w:rPr>
          <w:rFonts w:ascii="Times New Roman" w:hAnsi="Times New Roman" w:cs="Times New Roman"/>
          <w:sz w:val="24"/>
          <w:szCs w:val="24"/>
          <w:lang w:val="uk-UA"/>
        </w:rPr>
      </w:pPr>
    </w:p>
    <w:p w:rsidR="00D5421C" w:rsidRDefault="00D5421C" w:rsidP="00D5421C">
      <w:pPr>
        <w:spacing w:after="0" w:line="240" w:lineRule="auto"/>
        <w:jc w:val="both"/>
        <w:rPr>
          <w:rFonts w:ascii="Times New Roman" w:hAnsi="Times New Roman" w:cs="Times New Roman"/>
          <w:sz w:val="24"/>
          <w:szCs w:val="24"/>
          <w:lang w:val="uk-UA"/>
        </w:rPr>
      </w:pPr>
    </w:p>
    <w:p w:rsidR="00D5421C" w:rsidRDefault="00D5421C" w:rsidP="00D5421C">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p>
    <w:p w:rsidR="00D5421C" w:rsidRPr="00CD13E1" w:rsidRDefault="00D5421C" w:rsidP="00D5421C">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D5421C" w:rsidRPr="00CD13E1" w:rsidRDefault="00D5421C" w:rsidP="00D5421C">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lastRenderedPageBreak/>
        <w:t xml:space="preserve">Пояснювальна записка </w:t>
      </w:r>
      <w:r>
        <w:rPr>
          <w:rFonts w:ascii="Times New Roman" w:hAnsi="Times New Roman" w:cs="Times New Roman"/>
          <w:b/>
          <w:sz w:val="24"/>
          <w:szCs w:val="24"/>
          <w:lang w:val="uk-UA"/>
        </w:rPr>
        <w:t>до</w:t>
      </w:r>
      <w:r w:rsidRPr="00CD13E1">
        <w:rPr>
          <w:rFonts w:ascii="Times New Roman" w:hAnsi="Times New Roman" w:cs="Times New Roman"/>
          <w:b/>
          <w:sz w:val="24"/>
          <w:szCs w:val="24"/>
          <w:lang w:val="uk-UA"/>
        </w:rPr>
        <w:t xml:space="preserve"> рішення міської ради</w:t>
      </w:r>
    </w:p>
    <w:p w:rsidR="00D5421C" w:rsidRPr="00CD13E1" w:rsidRDefault="00D5421C" w:rsidP="00D5421C">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від 22 серпня 2018 року</w:t>
      </w:r>
    </w:p>
    <w:p w:rsidR="00D5421C" w:rsidRPr="00CD13E1" w:rsidRDefault="00D5421C" w:rsidP="00D542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CD13E1">
        <w:rPr>
          <w:rFonts w:ascii="Times New Roman" w:hAnsi="Times New Roman" w:cs="Times New Roman"/>
          <w:b/>
          <w:sz w:val="24"/>
          <w:szCs w:val="24"/>
          <w:lang w:val="uk-UA"/>
        </w:rPr>
        <w:t>Про внесення змін до міського бюджету на 2018 рік</w:t>
      </w:r>
      <w:r>
        <w:rPr>
          <w:rFonts w:ascii="Times New Roman" w:hAnsi="Times New Roman" w:cs="Times New Roman"/>
          <w:sz w:val="24"/>
          <w:szCs w:val="24"/>
          <w:lang w:val="uk-UA"/>
        </w:rPr>
        <w:t>»</w:t>
      </w:r>
    </w:p>
    <w:p w:rsidR="00D5421C" w:rsidRPr="00CD13E1" w:rsidRDefault="00D5421C" w:rsidP="00D5421C">
      <w:pPr>
        <w:spacing w:after="0" w:line="240" w:lineRule="auto"/>
        <w:jc w:val="center"/>
        <w:rPr>
          <w:rFonts w:ascii="Times New Roman" w:hAnsi="Times New Roman" w:cs="Times New Roman"/>
          <w:sz w:val="24"/>
          <w:szCs w:val="24"/>
          <w:lang w:val="uk-UA"/>
        </w:rPr>
      </w:pPr>
    </w:p>
    <w:p w:rsidR="00D5421C" w:rsidRPr="00CD13E1" w:rsidRDefault="00D5421C" w:rsidP="00D5421C">
      <w:pPr>
        <w:tabs>
          <w:tab w:val="left" w:pos="567"/>
        </w:tabs>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 Бюджетним кодексом України, враховуючи потребу вирішення нагальних проблем громади, підготовлено пропозиції щодо уточнення міського бюджету на 2018 рік.</w:t>
      </w:r>
    </w:p>
    <w:p w:rsidR="00D5421C" w:rsidRPr="00CD13E1"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Проведення уточнення видатків міського бюджету пропонується здійснити за рахунок перерозподілу раніше виділених коштів – з метою їх раціонального та ефективного використання. Крім цього, є можливість планування економії коштів, яка виникла в зв’язку з проведенням тендерних процедур. Отже, для перепланування маємо </w:t>
      </w:r>
      <w:r w:rsidRPr="001960A7">
        <w:rPr>
          <w:rFonts w:ascii="Times New Roman" w:hAnsi="Times New Roman" w:cs="Times New Roman"/>
          <w:sz w:val="24"/>
          <w:szCs w:val="24"/>
          <w:lang w:val="uk-UA"/>
        </w:rPr>
        <w:t xml:space="preserve">1 010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 фінансового ресурсу, а саме: </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Згідно рішень сесій міської ради від 01.03.2018р. №8-34/2018р та від 30.05.2018р. №3-36/2018р на облаштування вузлів обліку природного газу засобами дистанційної передачі даних в школах та садочках виділено 700 </w:t>
      </w:r>
      <w:proofErr w:type="spellStart"/>
      <w:r w:rsidRPr="00CD13E1">
        <w:rPr>
          <w:rFonts w:ascii="Times New Roman" w:hAnsi="Times New Roman" w:cs="Times New Roman"/>
          <w:sz w:val="24"/>
          <w:szCs w:val="24"/>
          <w:lang w:val="uk-UA"/>
        </w:rPr>
        <w:t>тис.грн</w:t>
      </w:r>
      <w:proofErr w:type="spellEnd"/>
      <w:r w:rsidRPr="00CD13E1">
        <w:rPr>
          <w:rFonts w:ascii="Times New Roman" w:hAnsi="Times New Roman" w:cs="Times New Roman"/>
          <w:sz w:val="24"/>
          <w:szCs w:val="24"/>
          <w:lang w:val="uk-UA"/>
        </w:rPr>
        <w:t xml:space="preserve">. Проектна документація на ці роботи виконана – її загальна вартість  склала 66,8 </w:t>
      </w:r>
      <w:proofErr w:type="spellStart"/>
      <w:r w:rsidRPr="00CD13E1">
        <w:rPr>
          <w:rFonts w:ascii="Times New Roman" w:hAnsi="Times New Roman" w:cs="Times New Roman"/>
          <w:sz w:val="24"/>
          <w:szCs w:val="24"/>
          <w:lang w:val="uk-UA"/>
        </w:rPr>
        <w:t>тис.грн</w:t>
      </w:r>
      <w:proofErr w:type="spellEnd"/>
      <w:r w:rsidRPr="00CD13E1">
        <w:rPr>
          <w:rFonts w:ascii="Times New Roman" w:hAnsi="Times New Roman" w:cs="Times New Roman"/>
          <w:sz w:val="24"/>
          <w:szCs w:val="24"/>
          <w:lang w:val="uk-UA"/>
        </w:rPr>
        <w:t xml:space="preserve">.  Вартість лічильників та модемів, оплата робіт та інші видатки уточненні з врахуванням обсягів споживання газу по кожному закладу. Результатом цих розрахунків є економія в сумі  </w:t>
      </w:r>
      <w:r w:rsidRPr="001960A7">
        <w:rPr>
          <w:rFonts w:ascii="Times New Roman" w:hAnsi="Times New Roman" w:cs="Times New Roman"/>
          <w:sz w:val="24"/>
          <w:szCs w:val="24"/>
          <w:lang w:val="uk-UA"/>
        </w:rPr>
        <w:t xml:space="preserve">225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 результаті проведення тендерних процедур по закупівлі в заклади освіти вугілля та дров виникла економія в сумах відповідно 284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та 42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Результатом реорганізації бібліотечної системи громади є утворення КУ «</w:t>
      </w:r>
      <w:proofErr w:type="spellStart"/>
      <w:r w:rsidRPr="001960A7">
        <w:rPr>
          <w:rFonts w:ascii="Times New Roman" w:hAnsi="Times New Roman" w:cs="Times New Roman"/>
          <w:sz w:val="24"/>
          <w:szCs w:val="24"/>
          <w:lang w:val="uk-UA"/>
        </w:rPr>
        <w:t>Дунаєвецька</w:t>
      </w:r>
      <w:proofErr w:type="spellEnd"/>
      <w:r w:rsidRPr="001960A7">
        <w:rPr>
          <w:rFonts w:ascii="Times New Roman" w:hAnsi="Times New Roman" w:cs="Times New Roman"/>
          <w:sz w:val="24"/>
          <w:szCs w:val="24"/>
          <w:lang w:val="uk-UA"/>
        </w:rPr>
        <w:t xml:space="preserve"> міська публічно-шкільна бібліотека». Вона виконуватиме функції і шкільних бібліотек, котрі оптимізуються. Тобто по школах вивільняється 12 штатних одиниць бібліотекарів. Крім цього, по загальноосвітніх навчальних закладах та НВК оптимізовано 5,5 </w:t>
      </w:r>
      <w:proofErr w:type="spellStart"/>
      <w:r w:rsidRPr="001960A7">
        <w:rPr>
          <w:rFonts w:ascii="Times New Roman" w:hAnsi="Times New Roman" w:cs="Times New Roman"/>
          <w:sz w:val="24"/>
          <w:szCs w:val="24"/>
          <w:lang w:val="uk-UA"/>
        </w:rPr>
        <w:t>шт.од</w:t>
      </w:r>
      <w:proofErr w:type="spellEnd"/>
      <w:r w:rsidRPr="001960A7">
        <w:rPr>
          <w:rFonts w:ascii="Times New Roman" w:hAnsi="Times New Roman" w:cs="Times New Roman"/>
          <w:sz w:val="24"/>
          <w:szCs w:val="24"/>
          <w:lang w:val="uk-UA"/>
        </w:rPr>
        <w:t xml:space="preserve">. кочегарів та 6 </w:t>
      </w:r>
      <w:proofErr w:type="spellStart"/>
      <w:r w:rsidRPr="001960A7">
        <w:rPr>
          <w:rFonts w:ascii="Times New Roman" w:hAnsi="Times New Roman" w:cs="Times New Roman"/>
          <w:sz w:val="24"/>
          <w:szCs w:val="24"/>
          <w:lang w:val="uk-UA"/>
        </w:rPr>
        <w:t>шт.од</w:t>
      </w:r>
      <w:proofErr w:type="spellEnd"/>
      <w:r w:rsidRPr="001960A7">
        <w:rPr>
          <w:rFonts w:ascii="Times New Roman" w:hAnsi="Times New Roman" w:cs="Times New Roman"/>
          <w:sz w:val="24"/>
          <w:szCs w:val="24"/>
          <w:lang w:val="uk-UA"/>
        </w:rPr>
        <w:t xml:space="preserve">. робітників. Розрахункова економія заробітної плати з нарахуваннями до кінця року становить 154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Рішенням сесії міської ради від 20.04.2018р. №9-35/2018р були передбачені кошти в сумі 200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для поточного ремонту колеса огляду – це лише половина потреби. Спонсорів, бажаючих долучитися до проведення ремонту, не виявилося. А лише розпочати ремонт, не довівши його до кінця, немає сенсу, тому раціональнішим є перепланування зазначених коштів міського бюджету.</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На поточний ремонт ліфтів в будинках по </w:t>
      </w:r>
      <w:proofErr w:type="spellStart"/>
      <w:r w:rsidRPr="001960A7">
        <w:rPr>
          <w:rFonts w:ascii="Times New Roman" w:hAnsi="Times New Roman" w:cs="Times New Roman"/>
          <w:sz w:val="24"/>
          <w:szCs w:val="24"/>
          <w:lang w:val="uk-UA"/>
        </w:rPr>
        <w:t>вул.Київській</w:t>
      </w:r>
      <w:proofErr w:type="spellEnd"/>
      <w:r w:rsidRPr="001960A7">
        <w:rPr>
          <w:rFonts w:ascii="Times New Roman" w:hAnsi="Times New Roman" w:cs="Times New Roman"/>
          <w:sz w:val="24"/>
          <w:szCs w:val="24"/>
          <w:lang w:val="uk-UA"/>
        </w:rPr>
        <w:t xml:space="preserve">, 28 та 30 рішенням сесії міської ради від 20.04.2018р. №9-35/2018р було заплановано 460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В процесі освоєння коштів виникла економія в сумі 60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 міському бюджеті передбачені кошти в сумі 45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на надання фінансової підтримки громадським організаціям ветеранів та осіб з інвалідністю. Згідно Закону України «Про державну допомогу суб’єктам господарювання» така підтримка є державною допомогою, для виділення якої необхідно пройти довготривалу процедуру отримання дозволу від Антимонопольного комітету України. Тому доцільнішим є перепланування цих коштів на інші видатки.</w:t>
      </w:r>
    </w:p>
    <w:p w:rsidR="00D5421C" w:rsidRPr="00CD13E1"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Крім цього, до спеціального фонду міського бюджету надійшло незапланованих </w:t>
      </w:r>
      <w:r w:rsidRPr="001960A7">
        <w:rPr>
          <w:rFonts w:ascii="Times New Roman" w:hAnsi="Times New Roman" w:cs="Times New Roman"/>
          <w:sz w:val="24"/>
          <w:szCs w:val="24"/>
          <w:lang w:val="uk-UA"/>
        </w:rPr>
        <w:t>157 тис.грн.</w:t>
      </w:r>
      <w:r w:rsidRPr="00CD13E1">
        <w:rPr>
          <w:rFonts w:ascii="Times New Roman" w:hAnsi="Times New Roman" w:cs="Times New Roman"/>
          <w:sz w:val="24"/>
          <w:szCs w:val="24"/>
          <w:lang w:val="uk-UA"/>
        </w:rPr>
        <w:t xml:space="preserve"> від продажу земель несільськогосподарського признач</w:t>
      </w:r>
      <w:r>
        <w:rPr>
          <w:rFonts w:ascii="Times New Roman" w:hAnsi="Times New Roman" w:cs="Times New Roman"/>
          <w:sz w:val="24"/>
          <w:szCs w:val="24"/>
          <w:lang w:val="uk-UA"/>
        </w:rPr>
        <w:t xml:space="preserve">ення від Коваль М.І. та </w:t>
      </w:r>
      <w:proofErr w:type="spellStart"/>
      <w:r w:rsidRPr="001960A7">
        <w:rPr>
          <w:rFonts w:ascii="Times New Roman" w:hAnsi="Times New Roman" w:cs="Times New Roman"/>
          <w:sz w:val="24"/>
          <w:szCs w:val="24"/>
          <w:lang w:val="uk-UA"/>
        </w:rPr>
        <w:t>Каспрової</w:t>
      </w:r>
      <w:proofErr w:type="spellEnd"/>
      <w:r w:rsidRPr="001960A7">
        <w:rPr>
          <w:rFonts w:ascii="Times New Roman" w:hAnsi="Times New Roman" w:cs="Times New Roman"/>
          <w:sz w:val="24"/>
          <w:szCs w:val="24"/>
          <w:lang w:val="uk-UA"/>
        </w:rPr>
        <w:t xml:space="preserve"> Т.М.:</w:t>
      </w:r>
      <w:r w:rsidRPr="00CD13E1">
        <w:rPr>
          <w:rFonts w:ascii="Times New Roman" w:hAnsi="Times New Roman" w:cs="Times New Roman"/>
          <w:sz w:val="24"/>
          <w:szCs w:val="24"/>
          <w:lang w:val="uk-UA"/>
        </w:rPr>
        <w:t xml:space="preserve"> ці кошти згідно законодавства можуть бути заплановані на видатки бюджету розвитку та на оплату експертних грошових оцінок земельних ділянок, які відчужуються.</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Загальний фінансовий ресурс до розподілу (з врахуванням надходжень бюджету розвитку) становить 1 167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Є потреба розподілити його наступним чином:</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проекту будівництва </w:t>
      </w:r>
      <w:proofErr w:type="spellStart"/>
      <w:r w:rsidRPr="001960A7">
        <w:rPr>
          <w:rFonts w:ascii="Times New Roman" w:hAnsi="Times New Roman" w:cs="Times New Roman"/>
          <w:sz w:val="24"/>
          <w:szCs w:val="24"/>
          <w:lang w:val="uk-UA"/>
        </w:rPr>
        <w:t>Рахнівської</w:t>
      </w:r>
      <w:proofErr w:type="spellEnd"/>
      <w:r w:rsidRPr="001960A7">
        <w:rPr>
          <w:rFonts w:ascii="Times New Roman" w:hAnsi="Times New Roman" w:cs="Times New Roman"/>
          <w:sz w:val="24"/>
          <w:szCs w:val="24"/>
          <w:lang w:val="uk-UA"/>
        </w:rPr>
        <w:t xml:space="preserve"> амбулаторії загальної практики сімейної медицини по </w:t>
      </w:r>
      <w:proofErr w:type="spellStart"/>
      <w:r w:rsidRPr="001960A7">
        <w:rPr>
          <w:rFonts w:ascii="Times New Roman" w:hAnsi="Times New Roman" w:cs="Times New Roman"/>
          <w:sz w:val="24"/>
          <w:szCs w:val="24"/>
          <w:lang w:val="uk-UA"/>
        </w:rPr>
        <w:t>вул..Шкільній</w:t>
      </w:r>
      <w:proofErr w:type="spellEnd"/>
      <w:r w:rsidRPr="001960A7">
        <w:rPr>
          <w:rFonts w:ascii="Times New Roman" w:hAnsi="Times New Roman" w:cs="Times New Roman"/>
          <w:sz w:val="24"/>
          <w:szCs w:val="24"/>
          <w:lang w:val="uk-UA"/>
        </w:rPr>
        <w:t xml:space="preserve"> – 697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Відповідно до наказу </w:t>
      </w:r>
      <w:proofErr w:type="spellStart"/>
      <w:r w:rsidRPr="001960A7">
        <w:rPr>
          <w:rFonts w:ascii="Times New Roman" w:hAnsi="Times New Roman" w:cs="Times New Roman"/>
          <w:sz w:val="24"/>
          <w:szCs w:val="24"/>
          <w:lang w:val="uk-UA"/>
        </w:rPr>
        <w:t>Мінрегіону</w:t>
      </w:r>
      <w:proofErr w:type="spellEnd"/>
      <w:r w:rsidRPr="001960A7">
        <w:rPr>
          <w:rFonts w:ascii="Times New Roman" w:hAnsi="Times New Roman" w:cs="Times New Roman"/>
          <w:sz w:val="24"/>
          <w:szCs w:val="24"/>
          <w:lang w:val="uk-UA"/>
        </w:rPr>
        <w:t xml:space="preserve"> України від 26.07.2018р. №187 затверджено перелік проектів і заходів, що фінансуються в 2018 році за рахунок субвенції з державного бюджету на реалізацію заходів, спрямованих на розвиток системи охорони здоров’я в сільській </w:t>
      </w:r>
      <w:proofErr w:type="spellStart"/>
      <w:r w:rsidRPr="001960A7">
        <w:rPr>
          <w:rFonts w:ascii="Times New Roman" w:hAnsi="Times New Roman" w:cs="Times New Roman"/>
          <w:sz w:val="24"/>
          <w:szCs w:val="24"/>
          <w:lang w:val="uk-UA"/>
        </w:rPr>
        <w:t>місцевості–Рахнівська</w:t>
      </w:r>
      <w:proofErr w:type="spellEnd"/>
      <w:r w:rsidRPr="001960A7">
        <w:rPr>
          <w:rFonts w:ascii="Times New Roman" w:hAnsi="Times New Roman" w:cs="Times New Roman"/>
          <w:sz w:val="24"/>
          <w:szCs w:val="24"/>
          <w:lang w:val="uk-UA"/>
        </w:rPr>
        <w:t xml:space="preserve"> АЗПМС </w:t>
      </w:r>
      <w:r w:rsidRPr="001960A7">
        <w:rPr>
          <w:rFonts w:ascii="Times New Roman" w:hAnsi="Times New Roman" w:cs="Times New Roman"/>
          <w:sz w:val="24"/>
          <w:szCs w:val="24"/>
          <w:lang w:val="uk-UA"/>
        </w:rPr>
        <w:lastRenderedPageBreak/>
        <w:t xml:space="preserve">включена до зазначеного переліку, де обумовлена загальна вартість проекту - 6 968,6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та обсяг фінансування з державного </w:t>
      </w:r>
      <w:proofErr w:type="spellStart"/>
      <w:r w:rsidRPr="001960A7">
        <w:rPr>
          <w:rFonts w:ascii="Times New Roman" w:hAnsi="Times New Roman" w:cs="Times New Roman"/>
          <w:sz w:val="24"/>
          <w:szCs w:val="24"/>
          <w:lang w:val="uk-UA"/>
        </w:rPr>
        <w:t>бюд</w:t>
      </w:r>
      <w:proofErr w:type="spellEnd"/>
      <w:r w:rsidRPr="001960A7">
        <w:rPr>
          <w:rFonts w:ascii="Times New Roman" w:hAnsi="Times New Roman" w:cs="Times New Roman"/>
          <w:sz w:val="24"/>
          <w:szCs w:val="24"/>
          <w:lang w:val="uk-UA"/>
        </w:rPr>
        <w:t xml:space="preserve">жету-6 271,7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На виконання п.5 Порядку та умов надання цієї субвенції, затвердженого постановою КМУ від 06.12.2017р. №983 (зі змінами) </w:t>
      </w: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з міського бюджету має скласти не менше 10% .</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закупівлі обладнання в мобільний ЦНАП згідно напрямку Програми «U-LEAD з Європою» щодо покращення якості надання адміністративних послуг для населення – 100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Поповнення статутного капіталу КП теплових мереж на придбання котлів для котелень, які обслуговують </w:t>
      </w:r>
      <w:proofErr w:type="spellStart"/>
      <w:r w:rsidRPr="001960A7">
        <w:rPr>
          <w:rFonts w:ascii="Times New Roman" w:hAnsi="Times New Roman" w:cs="Times New Roman"/>
          <w:sz w:val="24"/>
          <w:szCs w:val="24"/>
          <w:lang w:val="uk-UA"/>
        </w:rPr>
        <w:t>Мушкутинецьку</w:t>
      </w:r>
      <w:proofErr w:type="spellEnd"/>
      <w:r w:rsidRPr="001960A7">
        <w:rPr>
          <w:rFonts w:ascii="Times New Roman" w:hAnsi="Times New Roman" w:cs="Times New Roman"/>
          <w:sz w:val="24"/>
          <w:szCs w:val="24"/>
          <w:lang w:val="uk-UA"/>
        </w:rPr>
        <w:t xml:space="preserve"> ЗОШ та ДНЗ №5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 189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документації з землеустрою: технічна документація щодо встановлення меж земельної ділянки, проект землеустрою щодо зміни цільового призначення земельної ділянки в </w:t>
      </w:r>
      <w:proofErr w:type="spellStart"/>
      <w:r w:rsidRPr="001960A7">
        <w:rPr>
          <w:rFonts w:ascii="Times New Roman" w:hAnsi="Times New Roman" w:cs="Times New Roman"/>
          <w:sz w:val="24"/>
          <w:szCs w:val="24"/>
          <w:lang w:val="uk-UA"/>
        </w:rPr>
        <w:t>с.Рахнівка</w:t>
      </w:r>
      <w:proofErr w:type="spellEnd"/>
      <w:r w:rsidRPr="001960A7">
        <w:rPr>
          <w:rFonts w:ascii="Times New Roman" w:hAnsi="Times New Roman" w:cs="Times New Roman"/>
          <w:sz w:val="24"/>
          <w:szCs w:val="24"/>
          <w:lang w:val="uk-UA"/>
        </w:rPr>
        <w:t xml:space="preserve">, де буде розміщена АЗПСМ; проекту землеустрою щодо відведення земельної ділянки в </w:t>
      </w:r>
      <w:proofErr w:type="spellStart"/>
      <w:r w:rsidRPr="001960A7">
        <w:rPr>
          <w:rFonts w:ascii="Times New Roman" w:hAnsi="Times New Roman" w:cs="Times New Roman"/>
          <w:sz w:val="24"/>
          <w:szCs w:val="24"/>
          <w:lang w:val="uk-UA"/>
        </w:rPr>
        <w:t>с.Нестерівці</w:t>
      </w:r>
      <w:proofErr w:type="spellEnd"/>
      <w:r w:rsidRPr="001960A7">
        <w:rPr>
          <w:rFonts w:ascii="Times New Roman" w:hAnsi="Times New Roman" w:cs="Times New Roman"/>
          <w:sz w:val="24"/>
          <w:szCs w:val="24"/>
          <w:lang w:val="uk-UA"/>
        </w:rPr>
        <w:t xml:space="preserve"> – 19,5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на звернення мешканців житлового будинку по </w:t>
      </w:r>
      <w:proofErr w:type="spellStart"/>
      <w:r w:rsidRPr="001960A7">
        <w:rPr>
          <w:rFonts w:ascii="Times New Roman" w:hAnsi="Times New Roman" w:cs="Times New Roman"/>
          <w:sz w:val="24"/>
          <w:szCs w:val="24"/>
          <w:lang w:val="uk-UA"/>
        </w:rPr>
        <w:t>вул..Шевченка</w:t>
      </w:r>
      <w:proofErr w:type="spellEnd"/>
      <w:r w:rsidRPr="001960A7">
        <w:rPr>
          <w:rFonts w:ascii="Times New Roman" w:hAnsi="Times New Roman" w:cs="Times New Roman"/>
          <w:sz w:val="24"/>
          <w:szCs w:val="24"/>
          <w:lang w:val="uk-UA"/>
        </w:rPr>
        <w:t xml:space="preserve">, 57 б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який в минулому році постраждав від вибуху газу, технічного обстеження будівельних конструкцій та інженерних мереж – 2,7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поточного ремонту огорожі навколо дитячого майданчика в </w:t>
      </w:r>
      <w:proofErr w:type="spellStart"/>
      <w:r w:rsidRPr="001960A7">
        <w:rPr>
          <w:rFonts w:ascii="Times New Roman" w:hAnsi="Times New Roman" w:cs="Times New Roman"/>
          <w:sz w:val="24"/>
          <w:szCs w:val="24"/>
          <w:lang w:val="uk-UA"/>
        </w:rPr>
        <w:t>с.Залісці</w:t>
      </w:r>
      <w:proofErr w:type="spellEnd"/>
      <w:r w:rsidRPr="001960A7">
        <w:rPr>
          <w:rFonts w:ascii="Times New Roman" w:hAnsi="Times New Roman" w:cs="Times New Roman"/>
          <w:sz w:val="24"/>
          <w:szCs w:val="24"/>
          <w:lang w:val="uk-UA"/>
        </w:rPr>
        <w:t xml:space="preserve"> – 25 тис.грн. та придбання </w:t>
      </w:r>
      <w:proofErr w:type="spellStart"/>
      <w:r w:rsidRPr="001960A7">
        <w:rPr>
          <w:rFonts w:ascii="Times New Roman" w:hAnsi="Times New Roman" w:cs="Times New Roman"/>
          <w:sz w:val="24"/>
          <w:szCs w:val="24"/>
          <w:lang w:val="uk-UA"/>
        </w:rPr>
        <w:t>цембрин</w:t>
      </w:r>
      <w:proofErr w:type="spellEnd"/>
      <w:r w:rsidRPr="001960A7">
        <w:rPr>
          <w:rFonts w:ascii="Times New Roman" w:hAnsi="Times New Roman" w:cs="Times New Roman"/>
          <w:sz w:val="24"/>
          <w:szCs w:val="24"/>
          <w:lang w:val="uk-UA"/>
        </w:rPr>
        <w:t xml:space="preserve"> для громадських криниць–12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Членські внески Асоціації ОТГ в Хмельницькій області–2,5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експертних грошових оцінок земельних ділянок, які відчужуються (за рахунок авансових внесків від продажу земельних ділянок, які надійшли від покупців Коваль М.І. та </w:t>
      </w:r>
      <w:proofErr w:type="spellStart"/>
      <w:r w:rsidRPr="001960A7">
        <w:rPr>
          <w:rFonts w:ascii="Times New Roman" w:hAnsi="Times New Roman" w:cs="Times New Roman"/>
          <w:sz w:val="24"/>
          <w:szCs w:val="24"/>
          <w:lang w:val="uk-UA"/>
        </w:rPr>
        <w:t>Каспрової</w:t>
      </w:r>
      <w:proofErr w:type="spellEnd"/>
      <w:r w:rsidRPr="001960A7">
        <w:rPr>
          <w:rFonts w:ascii="Times New Roman" w:hAnsi="Times New Roman" w:cs="Times New Roman"/>
          <w:sz w:val="24"/>
          <w:szCs w:val="24"/>
          <w:lang w:val="uk-UA"/>
        </w:rPr>
        <w:t xml:space="preserve"> Т.М.) – 1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коригування проектно-кошторисної документації «Капітальний ремонт тротуару по </w:t>
      </w:r>
      <w:proofErr w:type="spellStart"/>
      <w:r w:rsidRPr="001960A7">
        <w:rPr>
          <w:rFonts w:ascii="Times New Roman" w:hAnsi="Times New Roman" w:cs="Times New Roman"/>
          <w:sz w:val="24"/>
          <w:szCs w:val="24"/>
          <w:lang w:val="uk-UA"/>
        </w:rPr>
        <w:t>вул.Могилівській</w:t>
      </w:r>
      <w:proofErr w:type="spellEnd"/>
      <w:r w:rsidRPr="001960A7">
        <w:rPr>
          <w:rFonts w:ascii="Times New Roman" w:hAnsi="Times New Roman" w:cs="Times New Roman"/>
          <w:sz w:val="24"/>
          <w:szCs w:val="24"/>
          <w:lang w:val="uk-UA"/>
        </w:rPr>
        <w:t xml:space="preserve">,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- 2,2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розробка схем розміщення об’єктів сезонної торгівлі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 2,1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Покриття дефіциту по платі КУ «Міський культурно-мистецький просвітницький центр» по теплопостачанню – 114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2. Інше перепланування – в межах одного відповідального виконавця:</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Заробітну плату педагогів КУ «Інклюзивно-ресурсний центр» в сумі 254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запланувати за рахунок залишків освітньої субвенції, який утворився станом на 01.01.2018 року та рішенням сесії міської ради від 01.03.2018р. №8-34/2018р був запланований на </w:t>
      </w: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придбання шкільного автобуса. Придбання шкільних </w:t>
      </w:r>
      <w:proofErr w:type="spellStart"/>
      <w:r w:rsidRPr="001960A7">
        <w:rPr>
          <w:rFonts w:ascii="Times New Roman" w:hAnsi="Times New Roman" w:cs="Times New Roman"/>
          <w:sz w:val="24"/>
          <w:szCs w:val="24"/>
          <w:lang w:val="uk-UA"/>
        </w:rPr>
        <w:t>дошок</w:t>
      </w:r>
      <w:proofErr w:type="spellEnd"/>
      <w:r w:rsidRPr="001960A7">
        <w:rPr>
          <w:rFonts w:ascii="Times New Roman" w:hAnsi="Times New Roman" w:cs="Times New Roman"/>
          <w:sz w:val="24"/>
          <w:szCs w:val="24"/>
          <w:lang w:val="uk-UA"/>
        </w:rPr>
        <w:t xml:space="preserve"> в рамках проекту  «Нова українська школа» в сумі 85,6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запланувати за рахунок залишків освітньої субвенції, який утворився станом на 01.01.2018 році та рішенням сесії міської ради від 01.03.2018р. №8-34/2018р був запланований на придбання комплектів парт та стільців для учнів 1 класу.</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Експертизу скоригованого проекту «Капітальний ремонт розчистки русла </w:t>
      </w:r>
      <w:proofErr w:type="spellStart"/>
      <w:r w:rsidRPr="001960A7">
        <w:rPr>
          <w:rFonts w:ascii="Times New Roman" w:hAnsi="Times New Roman" w:cs="Times New Roman"/>
          <w:sz w:val="24"/>
          <w:szCs w:val="24"/>
          <w:lang w:val="uk-UA"/>
        </w:rPr>
        <w:t>р.Тернавка</w:t>
      </w:r>
      <w:proofErr w:type="spellEnd"/>
      <w:r w:rsidRPr="001960A7">
        <w:rPr>
          <w:rFonts w:ascii="Times New Roman" w:hAnsi="Times New Roman" w:cs="Times New Roman"/>
          <w:sz w:val="24"/>
          <w:szCs w:val="24"/>
          <w:lang w:val="uk-UA"/>
        </w:rPr>
        <w:t xml:space="preserve"> і ліквідація підтоплення садиб по </w:t>
      </w:r>
      <w:proofErr w:type="spellStart"/>
      <w:r w:rsidRPr="001960A7">
        <w:rPr>
          <w:rFonts w:ascii="Times New Roman" w:hAnsi="Times New Roman" w:cs="Times New Roman"/>
          <w:sz w:val="24"/>
          <w:szCs w:val="24"/>
          <w:lang w:val="uk-UA"/>
        </w:rPr>
        <w:t>вул..Набережній</w:t>
      </w:r>
      <w:proofErr w:type="spellEnd"/>
      <w:r w:rsidRPr="001960A7">
        <w:rPr>
          <w:rFonts w:ascii="Times New Roman" w:hAnsi="Times New Roman" w:cs="Times New Roman"/>
          <w:sz w:val="24"/>
          <w:szCs w:val="24"/>
          <w:lang w:val="uk-UA"/>
        </w:rPr>
        <w:t xml:space="preserve">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Хмельницької області» (10,6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обстеження оцінки впливу навколишнього середовища (12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та технічне обстеження будівельних конструкцій та інженерних мереж для реалізації вищезгаданого проекту (8,2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запланувати за рахунок надходжень в 2018 році екологічного податку, який на даний час запланований на ліквідацію нелегальних сміттєзвалищ на території громади.</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Відшкодування різниці між затвердженим тарифом та фактичною собівартістю на послуги водопостачання та водовідведення КП «Міськводоканал» для підключення жителів </w:t>
      </w:r>
      <w:proofErr w:type="spellStart"/>
      <w:r w:rsidRPr="001960A7">
        <w:rPr>
          <w:rFonts w:ascii="Times New Roman" w:hAnsi="Times New Roman" w:cs="Times New Roman"/>
          <w:sz w:val="24"/>
          <w:szCs w:val="24"/>
          <w:lang w:val="uk-UA"/>
        </w:rPr>
        <w:t>вул..Ватутіна</w:t>
      </w:r>
      <w:proofErr w:type="spellEnd"/>
      <w:r w:rsidRPr="001960A7">
        <w:rPr>
          <w:rFonts w:ascii="Times New Roman" w:hAnsi="Times New Roman" w:cs="Times New Roman"/>
          <w:sz w:val="24"/>
          <w:szCs w:val="24"/>
          <w:lang w:val="uk-UA"/>
        </w:rPr>
        <w:t xml:space="preserve">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до нової ділянки водопровідної мережі – 200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необхідність зазначених робіт пояснюється  запланованою реконструкцією дороги по вулиці Ватутіна. Для фінансування пропонується залучити залишок невикористаних на даний час коштів, запланованих на капітальний ремонт ділянки водопроводу від «Приватбанку» до </w:t>
      </w:r>
      <w:proofErr w:type="spellStart"/>
      <w:r w:rsidRPr="001960A7">
        <w:rPr>
          <w:rFonts w:ascii="Times New Roman" w:hAnsi="Times New Roman" w:cs="Times New Roman"/>
          <w:sz w:val="24"/>
          <w:szCs w:val="24"/>
          <w:lang w:val="uk-UA"/>
        </w:rPr>
        <w:t>вул..Красінських</w:t>
      </w:r>
      <w:proofErr w:type="spellEnd"/>
      <w:r w:rsidRPr="001960A7">
        <w:rPr>
          <w:rFonts w:ascii="Times New Roman" w:hAnsi="Times New Roman" w:cs="Times New Roman"/>
          <w:sz w:val="24"/>
          <w:szCs w:val="24"/>
          <w:lang w:val="uk-UA"/>
        </w:rPr>
        <w:t xml:space="preserve"> по </w:t>
      </w:r>
      <w:proofErr w:type="spellStart"/>
      <w:r w:rsidRPr="001960A7">
        <w:rPr>
          <w:rFonts w:ascii="Times New Roman" w:hAnsi="Times New Roman" w:cs="Times New Roman"/>
          <w:sz w:val="24"/>
          <w:szCs w:val="24"/>
          <w:lang w:val="uk-UA"/>
        </w:rPr>
        <w:t>вул..Шевченка</w:t>
      </w:r>
      <w:proofErr w:type="spellEnd"/>
      <w:r w:rsidRPr="001960A7">
        <w:rPr>
          <w:rFonts w:ascii="Times New Roman" w:hAnsi="Times New Roman" w:cs="Times New Roman"/>
          <w:sz w:val="24"/>
          <w:szCs w:val="24"/>
          <w:lang w:val="uk-UA"/>
        </w:rPr>
        <w:t xml:space="preserve">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з наступним відновленням плану за рахунок перевиконання дохідної частини міського бюджету.</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lastRenderedPageBreak/>
        <w:t xml:space="preserve">В зв’язку з необхідністю створення в рамках медичної реформи автоматизованих робочих місць лікарів, економію коштів в сумі 91,5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виділених на придбання засобів електронного обліку газу, перепланувати на закупівлю комп’ютерного обладнання. Крім цього поточні видатки в сумі 205,6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на придбання обладнання для створення робочих місць лікарів, </w:t>
      </w:r>
      <w:proofErr w:type="spellStart"/>
      <w:r w:rsidRPr="001960A7">
        <w:rPr>
          <w:rFonts w:ascii="Times New Roman" w:hAnsi="Times New Roman" w:cs="Times New Roman"/>
          <w:sz w:val="24"/>
          <w:szCs w:val="24"/>
          <w:lang w:val="uk-UA"/>
        </w:rPr>
        <w:t>переспрямувати</w:t>
      </w:r>
      <w:proofErr w:type="spellEnd"/>
      <w:r w:rsidRPr="001960A7">
        <w:rPr>
          <w:rFonts w:ascii="Times New Roman" w:hAnsi="Times New Roman" w:cs="Times New Roman"/>
          <w:sz w:val="24"/>
          <w:szCs w:val="24"/>
          <w:lang w:val="uk-UA"/>
        </w:rPr>
        <w:t xml:space="preserve"> на капітальні видатки.</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Для облаштування засобом дистанційної передачі даних обліку спожитого природного газу приміщення «Станції юних натуралістів», кошти в сумі 21,2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перепланувати з раніше виділених на ці цілі коштів для загальноосвітніх шкіл.</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З метою закупівлі меблів для початкових класів, кошти міського бюджету в сумі 119,7 тис.грн., передбачені  як </w:t>
      </w: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видатків за рахунок субвенції з державного бюджету на забезпечення якісної, сучасної та доступної загальної середньої освіти «Нова українська школа», перепланувати з поточних видатків на капітальні.</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3.На виконання пункту 2 рішення сесії міської ради від 12.07.2018р. №3-38/2018р. затвердити розпорядження секретаря міської ради від 20.07.2018р. №253/2018-р «Про внесення змін до міського бюджету на 2018 рік» щодо розподілу </w:t>
      </w:r>
      <w:proofErr w:type="spellStart"/>
      <w:r w:rsidRPr="001960A7">
        <w:rPr>
          <w:rFonts w:ascii="Times New Roman" w:hAnsi="Times New Roman" w:cs="Times New Roman"/>
          <w:sz w:val="24"/>
          <w:szCs w:val="24"/>
          <w:lang w:val="uk-UA"/>
        </w:rPr>
        <w:t>закумульованих</w:t>
      </w:r>
      <w:proofErr w:type="spellEnd"/>
      <w:r w:rsidRPr="001960A7">
        <w:rPr>
          <w:rFonts w:ascii="Times New Roman" w:hAnsi="Times New Roman" w:cs="Times New Roman"/>
          <w:sz w:val="24"/>
          <w:szCs w:val="24"/>
          <w:lang w:val="uk-UA"/>
        </w:rPr>
        <w:t xml:space="preserve"> на реалізацію проектів Громадського бюджету коштів між головними розпорядниками та кодами програмної класифікації видатків відповідно до затвердженого рішенням сесії від 12.07.2018р переліку проектів.</w:t>
      </w:r>
    </w:p>
    <w:p w:rsidR="00D5421C" w:rsidRPr="001960A7"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4.Враховуючи нагальну потребу в забезпеченні хворих на цукровий діабет препаратами інсуліну в зв’язку з недостатністю фінансування з обласного бюджету, та, враховуючи вже прийняте відповідне рішення сесією районної ради від 09.08.2018р. про </w:t>
      </w:r>
      <w:proofErr w:type="spellStart"/>
      <w:r w:rsidRPr="001960A7">
        <w:rPr>
          <w:rFonts w:ascii="Times New Roman" w:hAnsi="Times New Roman" w:cs="Times New Roman"/>
          <w:sz w:val="24"/>
          <w:szCs w:val="24"/>
          <w:lang w:val="uk-UA"/>
        </w:rPr>
        <w:t>переспрямування</w:t>
      </w:r>
      <w:proofErr w:type="spellEnd"/>
      <w:r w:rsidRPr="001960A7">
        <w:rPr>
          <w:rFonts w:ascii="Times New Roman" w:hAnsi="Times New Roman" w:cs="Times New Roman"/>
          <w:sz w:val="24"/>
          <w:szCs w:val="24"/>
          <w:lang w:val="uk-UA"/>
        </w:rPr>
        <w:t xml:space="preserve"> 100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іншої субвенції з міського бюджету районному бюджету з заробітної плати працівників КУ «</w:t>
      </w:r>
      <w:proofErr w:type="spellStart"/>
      <w:r w:rsidRPr="001960A7">
        <w:rPr>
          <w:rFonts w:ascii="Times New Roman" w:hAnsi="Times New Roman" w:cs="Times New Roman"/>
          <w:sz w:val="24"/>
          <w:szCs w:val="24"/>
          <w:lang w:val="uk-UA"/>
        </w:rPr>
        <w:t>Дунаєвецька</w:t>
      </w:r>
      <w:proofErr w:type="spellEnd"/>
      <w:r w:rsidRPr="001960A7">
        <w:rPr>
          <w:rFonts w:ascii="Times New Roman" w:hAnsi="Times New Roman" w:cs="Times New Roman"/>
          <w:sz w:val="24"/>
          <w:szCs w:val="24"/>
          <w:lang w:val="uk-UA"/>
        </w:rPr>
        <w:t xml:space="preserve"> ЦРЛ» на придбання препаратів інсуліну, внести зміни до міського бюджету, змінивши цільове призначення зазначеної субвенції.</w:t>
      </w:r>
    </w:p>
    <w:p w:rsidR="00D5421C"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p>
    <w:p w:rsidR="00D5421C" w:rsidRDefault="00D5421C" w:rsidP="00D5421C">
      <w:pPr>
        <w:tabs>
          <w:tab w:val="left" w:pos="0"/>
        </w:tabs>
        <w:spacing w:after="0" w:line="240" w:lineRule="auto"/>
        <w:ind w:firstLine="709"/>
        <w:contextualSpacing/>
        <w:jc w:val="both"/>
        <w:rPr>
          <w:rFonts w:ascii="Times New Roman" w:hAnsi="Times New Roman" w:cs="Times New Roman"/>
          <w:sz w:val="24"/>
          <w:szCs w:val="24"/>
          <w:lang w:val="uk-UA"/>
        </w:rPr>
      </w:pPr>
    </w:p>
    <w:p w:rsidR="00D5421C" w:rsidRPr="00CD13E1" w:rsidRDefault="00D5421C" w:rsidP="00D5421C">
      <w:pPr>
        <w:jc w:val="both"/>
        <w:rPr>
          <w:rFonts w:ascii="Times New Roman" w:hAnsi="Times New Roman" w:cs="Times New Roman"/>
          <w:sz w:val="24"/>
          <w:szCs w:val="24"/>
          <w:lang w:val="uk-UA"/>
        </w:rPr>
      </w:pPr>
    </w:p>
    <w:p w:rsidR="00D5421C" w:rsidRPr="00CD13E1" w:rsidRDefault="00D5421C" w:rsidP="00D5421C">
      <w:pPr>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Начальник фінансового управління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 xml:space="preserve"> Т.</w:t>
      </w:r>
      <w:proofErr w:type="spellStart"/>
      <w:r w:rsidRPr="00CD13E1">
        <w:rPr>
          <w:rFonts w:ascii="Times New Roman" w:hAnsi="Times New Roman" w:cs="Times New Roman"/>
          <w:sz w:val="24"/>
          <w:szCs w:val="24"/>
          <w:lang w:val="uk-UA"/>
        </w:rPr>
        <w:t>Абзалова</w:t>
      </w:r>
      <w:proofErr w:type="spellEnd"/>
    </w:p>
    <w:p w:rsidR="005076ED" w:rsidRDefault="005076ED"/>
    <w:sectPr w:rsidR="0050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1C"/>
    <w:rsid w:val="005076ED"/>
    <w:rsid w:val="00B56111"/>
    <w:rsid w:val="00D5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1C"/>
  </w:style>
  <w:style w:type="paragraph" w:styleId="3">
    <w:name w:val="heading 3"/>
    <w:basedOn w:val="a"/>
    <w:next w:val="a"/>
    <w:link w:val="30"/>
    <w:qFormat/>
    <w:rsid w:val="00D5421C"/>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421C"/>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D5421C"/>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D5421C"/>
    <w:rPr>
      <w:rFonts w:ascii="Calibri" w:eastAsia="Times New Roman" w:hAnsi="Calibri"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1C"/>
  </w:style>
  <w:style w:type="paragraph" w:styleId="3">
    <w:name w:val="heading 3"/>
    <w:basedOn w:val="a"/>
    <w:next w:val="a"/>
    <w:link w:val="30"/>
    <w:qFormat/>
    <w:rsid w:val="00D5421C"/>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421C"/>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D5421C"/>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4">
    <w:name w:val="Верхний колонтитул Знак"/>
    <w:aliases w:val="Знак Знак"/>
    <w:basedOn w:val="a0"/>
    <w:link w:val="a3"/>
    <w:rsid w:val="00D5421C"/>
    <w:rPr>
      <w:rFonts w:ascii="Calibri" w:eastAsia="Times New Roman" w:hAnsi="Calibri"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2018-08-29T06:51:00Z</dcterms:created>
  <dcterms:modified xsi:type="dcterms:W3CDTF">2018-08-29T06:52:00Z</dcterms:modified>
</cp:coreProperties>
</file>