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2F" w:rsidRPr="00A07F41" w:rsidRDefault="00A6402F" w:rsidP="00A6402F">
      <w:pPr>
        <w:pStyle w:val="docdata"/>
        <w:spacing w:before="0" w:beforeAutospacing="0" w:after="0" w:afterAutospacing="0"/>
        <w:ind w:right="-107"/>
        <w:jc w:val="right"/>
        <w:rPr>
          <w:color w:val="000000" w:themeColor="text1"/>
        </w:rPr>
      </w:pPr>
      <w:r w:rsidRPr="00A07F41">
        <w:rPr>
          <w:color w:val="000000" w:themeColor="text1"/>
        </w:rPr>
        <w:t xml:space="preserve">   </w:t>
      </w: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A6402F" w:rsidRPr="00A07F41" w:rsidRDefault="00A6402F" w:rsidP="00A6402F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2F" w:rsidRPr="00A07F41" w:rsidRDefault="00A6402F" w:rsidP="00A64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A6402F" w:rsidRPr="00A07F41" w:rsidRDefault="00A6402F" w:rsidP="00A6402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A6402F" w:rsidRPr="00A07F41" w:rsidRDefault="00A6402F" w:rsidP="00A6402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A6402F" w:rsidRPr="00A07F41" w:rsidRDefault="00A6402F" w:rsidP="00A6402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6402F" w:rsidRPr="00A07F41" w:rsidRDefault="00A6402F" w:rsidP="00A6402F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Дунаївці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№7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A6402F" w:rsidRPr="00A07F41" w:rsidRDefault="00A6402F" w:rsidP="00A6402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402F" w:rsidRPr="00A07F41" w:rsidRDefault="00A6402F" w:rsidP="00A6402F">
      <w:pPr>
        <w:keepNext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затвердження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ого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</w:p>
    <w:p w:rsidR="00A6402F" w:rsidRPr="00A07F41" w:rsidRDefault="00A6402F" w:rsidP="00A640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571"/>
      </w:tblGrid>
      <w:tr w:rsidR="00A6402F" w:rsidRPr="00A07F41" w:rsidTr="006D2D52">
        <w:trPr>
          <w:trHeight w:val="26"/>
          <w:tblCellSpacing w:w="0" w:type="dxa"/>
          <w:jc w:val="center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2F" w:rsidRPr="00A07F41" w:rsidRDefault="00A6402F" w:rsidP="006D2D52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відповідності до пункту 23 частини 1 статті 26, статті 61 Закону України «Про місцеве самоврядування в Україні», керуючись Бюджетним кодексом України, міська рада    </w:t>
            </w:r>
            <w:proofErr w:type="gramEnd"/>
          </w:p>
          <w:p w:rsidR="00A6402F" w:rsidRPr="00A07F41" w:rsidRDefault="00A6402F" w:rsidP="006D2D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ВИРІШИЛА: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Визначити на 2019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ік: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доходи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міського бюджету у сумі 237 321 826 гривень, у тому числі доходи загального фонду міського бюджету – 232 280 122 гривні та доходи спеціального фонду міського бюджету – 5 041 704 гривні згідно з додатком 1 до цього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видатки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міського бюджету у сумі</w:t>
            </w:r>
            <w:r w:rsidRPr="00A07F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 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237 321 826 гривень,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тому числі видатки загального фонду міського бюджету – 232 162 122 гривні та видатки спеціального фонду міського бюджету – 5 159 704 гривні;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іцит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загальним фондом міського бюджету у сумі 118 000 гривень згідно з додатком 2 до цього рішення;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дефіцит 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спеціальним фондом міського бюджету у сумі 118 000 гривень згідно з додатком 2 до цього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оборотний залишок бюджетних коштів 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міського бюджету у розмі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 10 000 гривень, що становить 0,004 відсотки видатків загального фонду міського бюджету, визначених цим пунктом.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Затвердити 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бюджетні призначення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головним розпорядникам коштів міського бюджету на 2019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у розрізі відповідальних виконавців за бюджетними програмами  згідно з додатками 3, 4 до цього рішення.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Затвердити на 2019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ік 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міжбюджетні трансферти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згідно з додатком 5 до цього рішення.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міжсесійний період збільшувати (зменшувати) обсяги доходної та видаткової частин міського бюджету в разі збільшення (зменшення)  обсягів міжбюджетних трансфертів згідно розпоряджень міського голови за погодженням з постійною комісією міської ради з питань планування, бюджету і фінансів та подальшим затвердженням на сесії.</w:t>
            </w:r>
            <w:proofErr w:type="gramEnd"/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Затвердити на 2019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ік 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розподіл коштів бюджету розвитку 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здійснення заходів на будівництво, реконструкцію і реставрацію об&amp;apos;єктів виробничої, комунікаційної та соціальної інфраструктури за об&amp;apos;єктами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згідно з додатком 6 до цього рішення.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Затвердити 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розподіл витрат міського бюджету на реалізацію міських 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сумі 11 483 894 гривні згідно з додатком 7 до цього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ішення.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Установити, що до доходів загального фонду міського бюджету належать доходи, визначені статтею 64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кодексу України та трансферти, визначені статтями 97 та 101 Бюджетного кодексу України. 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Установити, що джерелами формування спеціального фонду міського бюджету на 2019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ік у частині доходів є надходження, визначені статтею 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69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Бюджетного кодексу України, 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Визначити на 2019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відповідно до статті 55 Бюджетного кодексу України захищеними видатками міського бюджету видатки загального фонду на: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оплату праці працівникам бюджетних установ;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нарахування на заробітну плату;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придбання медикаментів та перев’язувальних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іалів; 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забезпечення продуктами харчування;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оплату комунальних послуг та енергоносії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поточні трансферти населенню;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поточні трансферти місцевим бюджетам.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02F" w:rsidRPr="00A07F41" w:rsidRDefault="00A6402F" w:rsidP="006D2D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 до частини 8 статті 16 Бюджетного кодексу України надати право фінансовому управлінню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 з наступним інформуванням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іської ради. 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10. 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 до статтей 43 та 73 Бюджетного кодексу України надати право фінансовому управлінню міської ради отримувати у порядку, визначеному Кабінетом міністром України,  позики на покриття тимчасових касових розривів міського бюджету, пов’язаних із забезпеченням захищених видатків загального фонду, в межах поточного бюджетного періоду за рахунок кошт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ів єдиного казначейського рахунку на договірних умовах без нарахування відсотків за користування цими коштами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обов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&amp;apos;язковим їх поверненням до кінця поточного бюджетного періоду.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Головними розпорядниками коштів міського бюджету забезпечити виконання норм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кодексу України стосовно: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затвердження паспортів бюджетних програм протягом 45 днів з дня набрання чинності цим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ішенням;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івня та одержувачів бюджетних коштів у бюджетному процесі;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 забезпечення доступності інформації про бюджет відповідно до законодавства, а саме:</w:t>
            </w:r>
          </w:p>
          <w:p w:rsidR="00A6402F" w:rsidRPr="00A07F41" w:rsidRDefault="00A6402F" w:rsidP="006D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 оприлюднення паспортів бюджетних програм у триденний строк з дня затвердження таких документі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6402F" w:rsidRPr="00A07F41" w:rsidRDefault="00A6402F" w:rsidP="006D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здійснення публічного представлення та публікації інформації про виконання бюджету за бюджетними програмами та показниками, бюджетні призначення щодо яких визначені цим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ішенням, відповідно до вимог та за формою, встановленими Міністерством фінансів України, до 15 березня 2020 року;</w:t>
            </w:r>
          </w:p>
          <w:p w:rsidR="00A6402F" w:rsidRPr="00A07F41" w:rsidRDefault="00A6402F" w:rsidP="006D2D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забезпечення у повному обсязі проведення розрахунків за електричну та теплову енергію, водопостачання, водовідведення, природний газ та послуги зв&amp;apos;язку, які споживаються бюджетними установами, та укладання договорів за кожним видом енергоносіїв у межах встановлених відповідним головним розпорядником бюджетних 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коштів обґрунтованих лімітів споживання.</w:t>
            </w:r>
            <w:proofErr w:type="gramEnd"/>
          </w:p>
          <w:p w:rsidR="00A6402F" w:rsidRPr="00A07F41" w:rsidRDefault="00A6402F" w:rsidP="006D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 12.  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асигнувань, затверджених у розписі бюджету та кошторисі в розрізі економічної класифікації видатк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бюджету.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межах загального обсягу бюджетних призначень головного розпорядника бюджетних коштів перерозподіл видатків за бюджетними програмами, збільшення видатків розвитку за рахунок зменшення інших видатків, а також зміни розмі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 та мети бюджетних призначень здійснюються згідно розпоряджень міського голови за погодженням з постійною комісією міської ради з питань планування, бюджету і фінансі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подальшим затвердженням на сесії.</w:t>
            </w:r>
          </w:p>
          <w:p w:rsidR="00A6402F" w:rsidRPr="00A07F41" w:rsidRDefault="00A6402F" w:rsidP="006D2D52">
            <w:pPr>
              <w:tabs>
                <w:tab w:val="left" w:pos="0"/>
              </w:tabs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6402F" w:rsidRPr="00A07F41" w:rsidRDefault="00A6402F" w:rsidP="006D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 13. Установити, що це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 набирає чинності з 1 січня 2019 року.</w:t>
            </w:r>
          </w:p>
        </w:tc>
      </w:tr>
      <w:tr w:rsidR="00A6402F" w:rsidRPr="00A07F41" w:rsidTr="006D2D52">
        <w:trPr>
          <w:trHeight w:val="14"/>
          <w:tblCellSpacing w:w="0" w:type="dxa"/>
          <w:jc w:val="center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2F" w:rsidRPr="00A07F41" w:rsidRDefault="00A6402F" w:rsidP="006D2D52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    </w:t>
            </w:r>
          </w:p>
        </w:tc>
      </w:tr>
    </w:tbl>
    <w:p w:rsidR="00A6402F" w:rsidRPr="00A07F41" w:rsidRDefault="00A6402F" w:rsidP="00A6402F">
      <w:pPr>
        <w:tabs>
          <w:tab w:val="left" w:pos="10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Додатки 1 - 7 до цього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 є його невід’ємною частиною. </w:t>
      </w:r>
    </w:p>
    <w:p w:rsidR="00A6402F" w:rsidRPr="00A07F41" w:rsidRDefault="00A6402F" w:rsidP="00A6402F">
      <w:pPr>
        <w:tabs>
          <w:tab w:val="left" w:pos="10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15.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Забезпечити оприлюднення цього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 в десятиденний строк з дня його прийняття відповідно до частини четвертої статті 28 Бюджетного кодексу України.</w:t>
      </w:r>
    </w:p>
    <w:p w:rsidR="00A6402F" w:rsidRPr="00A07F41" w:rsidRDefault="00A6402F" w:rsidP="00A6402F">
      <w:pPr>
        <w:tabs>
          <w:tab w:val="left" w:pos="10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16.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виконанням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ішення покласти на постійну комісію з питань планування, фінансів, бюджету та соціально-економічного розвитку . </w:t>
      </w:r>
    </w:p>
    <w:p w:rsidR="00A6402F" w:rsidRPr="00A07F41" w:rsidRDefault="00A6402F" w:rsidP="00A6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402F" w:rsidRPr="00A07F41" w:rsidRDefault="00A6402F" w:rsidP="00A6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402F" w:rsidRPr="00A07F41" w:rsidRDefault="00A6402F" w:rsidP="00A6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402F" w:rsidRPr="00A07F41" w:rsidRDefault="00A6402F" w:rsidP="00A6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402F" w:rsidRPr="00A07F41" w:rsidRDefault="00A6402F" w:rsidP="00A6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 голова                                                                   В.Заяць</w:t>
      </w:r>
    </w:p>
    <w:p w:rsidR="00116A6F" w:rsidRDefault="00116A6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116A6F" w:rsidRPr="00A07F41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116A6F" w:rsidRPr="00A07F41" w:rsidRDefault="00116A6F" w:rsidP="00116A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Пояснювальна записка до міського бюджету на 2019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ік</w:t>
      </w:r>
    </w:p>
    <w:p w:rsidR="00116A6F" w:rsidRPr="00A07F41" w:rsidRDefault="00116A6F" w:rsidP="00116A6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І. Про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іально-економічний стан Дунаєвецької міської ради за 10 місяців 2018 року та прогноз на 2019 рік, який покладено в основу проекту бюджету</w:t>
      </w:r>
    </w:p>
    <w:p w:rsidR="00116A6F" w:rsidRPr="00A07F41" w:rsidRDefault="00116A6F" w:rsidP="00116A6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С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ільське господарство</w:t>
      </w:r>
    </w:p>
    <w:p w:rsidR="00116A6F" w:rsidRPr="00A07F41" w:rsidRDefault="00116A6F" w:rsidP="00116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галузевій структурі економіки громади переважає сільське господарство, харчова та переробна промисловість, т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оргівля, ресторанне господарство та побутове обслуговування населення. </w:t>
      </w:r>
      <w:r w:rsidRPr="00A07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Сільське господарство поступово перетворюється виключно у зернове, </w:t>
      </w:r>
      <w:proofErr w:type="gramStart"/>
      <w:r w:rsidRPr="00A07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яке</w:t>
      </w:r>
      <w:proofErr w:type="gramEnd"/>
      <w:r w:rsidRPr="00A07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не потребує робочих рук, тому менш ефективне для місцевої економіки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6A6F" w:rsidRPr="00A07F41" w:rsidRDefault="00116A6F" w:rsidP="00116A6F">
      <w:pPr>
        <w:spacing w:before="100" w:beforeAutospacing="1" w:after="100" w:afterAutospacing="1"/>
        <w:ind w:firstLine="73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Сільськогосподарськими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ідприємствами громади усіх форм власності використовується 27,914 тис. га ріллі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За 1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місяців поточного року господарствами всіх категорій зернові та зернобобові культури, включаючи кукурудзу, скошено і обмолочено на площі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18,88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тис. га, що становить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100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площ, посіяних під урожай поточного року. Намолочено зерна 13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1,97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тис. тонн при середній урожайності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69,9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ц/га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озимої пшениці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10,0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а. 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60,1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тис.тонн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60,1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озимого ячменю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207,2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.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зібрано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1,0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онн зерна: середня урожайність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48,3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озиме жито зі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бране на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11,8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94,7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тонн зерна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80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ярого ячменю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2,389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10,0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тис.тонн зерна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42,0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яра пшениця зібрана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181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0,9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.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онн зерна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 xml:space="preserve">50,3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гороху проведено збі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332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тис.га,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1,26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 тонн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37,8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озимий 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іпак зібраний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2,25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тис.га,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8,5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 тонн   при середній урожайності 3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7,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8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гречки проведено збі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399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0,76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тонн, при середній врожайності 19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сої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3,848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 га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11,8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онн  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30,6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ц/га;</w:t>
      </w:r>
    </w:p>
    <w:p w:rsidR="00116A6F" w:rsidRPr="00A07F41" w:rsidRDefault="00116A6F" w:rsidP="00116A6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кукурудза на зерно зібрана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5,209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 га,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56,3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онн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108,0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ц/га.</w:t>
      </w:r>
    </w:p>
    <w:p w:rsidR="00116A6F" w:rsidRPr="00A07F41" w:rsidRDefault="00116A6F" w:rsidP="00116A6F">
      <w:pPr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Соняшник зібраний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8,05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а, намолочено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27,4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тис.тонн при середній урожайності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34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ц/га.</w:t>
      </w:r>
    </w:p>
    <w:p w:rsidR="00116A6F" w:rsidRPr="00A07F41" w:rsidRDefault="00116A6F" w:rsidP="00116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ід урожай 201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9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року проведено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підготовку грунту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15,9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тис. гектарів, що становить 1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,5% до запланованого. Завершено </w:t>
      </w:r>
      <w:proofErr w:type="gramStart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ів озимого ріпаку на площі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5,6 тис.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га, </w:t>
      </w:r>
      <w:r w:rsidRPr="00A07F41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 xml:space="preserve">озимої пшениці 10,0 тис. га, озимого жита 29,6 га, озимого ячменю 222,6 га. </w:t>
      </w:r>
    </w:p>
    <w:p w:rsidR="00116A6F" w:rsidRPr="00A07F41" w:rsidRDefault="00116A6F" w:rsidP="00116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Найбільші землекористувачі громади: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 «Енселко Агро»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ФГ «Подільська марка» с.Дем`янківці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СТОВ Агрофірма «Україна»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 «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Козацька Долина 2006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с.Вихрівка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 «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Поділля агросервіс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 Чаньків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Подільський  бройлер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с.Воробіївка</w:t>
      </w: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116A6F" w:rsidRPr="00A07F41" w:rsidRDefault="00116A6F" w:rsidP="00116A6F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</w:p>
    <w:p w:rsidR="00116A6F" w:rsidRPr="007050DA" w:rsidRDefault="00116A6F" w:rsidP="00116A6F">
      <w:pPr>
        <w:pStyle w:val="9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116A6F" w:rsidRPr="00A07F41" w:rsidRDefault="00116A6F" w:rsidP="00116A6F">
      <w:pPr>
        <w:pStyle w:val="9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Торгівля, ресторанне господарство, послуги</w:t>
      </w:r>
    </w:p>
    <w:p w:rsidR="00116A6F" w:rsidRPr="00A07F41" w:rsidRDefault="00116A6F" w:rsidP="00116A6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Сфера внутрішньої торгівлі,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потенціалу, так і у забезпеченні потреб населення в товарах і послугах на території об’єднаної громади. </w:t>
      </w:r>
    </w:p>
    <w:p w:rsidR="00116A6F" w:rsidRPr="00A07F41" w:rsidRDefault="00116A6F" w:rsidP="00116A6F">
      <w:pPr>
        <w:spacing w:after="100" w:afterAutospacing="1"/>
        <w:ind w:firstLine="73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В галузевій структурі громади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стабільний розвиток та відносно висока продуктивність виробництва продуктів харчування, роздрібна і оптова торгівлля, заготівля та переробка продуктів харчування, ресторанне господарство та побутове обслуговування населення. На території громади успішно діють заклади громадського харчування та торгівлі, а саме:</w:t>
      </w:r>
    </w:p>
    <w:p w:rsidR="00116A6F" w:rsidRPr="00A07F41" w:rsidRDefault="00116A6F" w:rsidP="00116A6F">
      <w:pPr>
        <w:numPr>
          <w:ilvl w:val="0"/>
          <w:numId w:val="10"/>
        </w:numPr>
        <w:spacing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 обєкти громадського харчування;</w:t>
      </w:r>
    </w:p>
    <w:p w:rsidR="00116A6F" w:rsidRPr="00A07F41" w:rsidRDefault="00116A6F" w:rsidP="00116A6F">
      <w:pPr>
        <w:numPr>
          <w:ilvl w:val="0"/>
          <w:numId w:val="10"/>
        </w:numPr>
        <w:spacing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227 магазинів;</w:t>
      </w:r>
    </w:p>
    <w:p w:rsidR="00116A6F" w:rsidRPr="00A07F41" w:rsidRDefault="00116A6F" w:rsidP="00116A6F">
      <w:pPr>
        <w:numPr>
          <w:ilvl w:val="0"/>
          <w:numId w:val="10"/>
        </w:numPr>
        <w:spacing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55 павільйонів;</w:t>
      </w:r>
    </w:p>
    <w:p w:rsidR="00116A6F" w:rsidRPr="00A07F41" w:rsidRDefault="00116A6F" w:rsidP="00116A6F">
      <w:pPr>
        <w:numPr>
          <w:ilvl w:val="0"/>
          <w:numId w:val="10"/>
        </w:numPr>
        <w:spacing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43 об᾿єкти  лоткової торгівлі;</w:t>
      </w:r>
    </w:p>
    <w:p w:rsidR="00116A6F" w:rsidRPr="00A07F41" w:rsidRDefault="00116A6F" w:rsidP="00116A6F">
      <w:pPr>
        <w:numPr>
          <w:ilvl w:val="0"/>
          <w:numId w:val="10"/>
        </w:numPr>
        <w:spacing w:after="100" w:afterAutospacing="1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ринки.</w:t>
      </w:r>
    </w:p>
    <w:p w:rsidR="00116A6F" w:rsidRPr="00A07F41" w:rsidRDefault="00116A6F" w:rsidP="00116A6F">
      <w:pPr>
        <w:pStyle w:val="a6"/>
        <w:ind w:firstLine="709"/>
        <w:jc w:val="center"/>
        <w:rPr>
          <w:b/>
          <w:color w:val="000000" w:themeColor="text1"/>
          <w:sz w:val="24"/>
          <w:lang w:eastAsia="uk-UA"/>
        </w:rPr>
      </w:pPr>
      <w:r w:rsidRPr="00A07F41">
        <w:rPr>
          <w:b/>
          <w:color w:val="000000" w:themeColor="text1"/>
          <w:sz w:val="24"/>
          <w:lang w:eastAsia="uk-UA"/>
        </w:rPr>
        <w:t>Зовнішньо - економічна діяльність</w:t>
      </w:r>
    </w:p>
    <w:p w:rsidR="00116A6F" w:rsidRPr="00A07F41" w:rsidRDefault="00116A6F" w:rsidP="00116A6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Протягом 11місяців 2018 року в розвиток економіки громади за рахунок всіх джерел фінансування  вкладено 19235,8 тис.грн. капітальних інвестицій, відповідно на одну особу становить 492,18 гривень.</w:t>
      </w:r>
    </w:p>
    <w:p w:rsidR="00116A6F" w:rsidRPr="00A07F41" w:rsidRDefault="00116A6F" w:rsidP="00116A6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A07F41">
        <w:rPr>
          <w:rFonts w:ascii="Times New Roman" w:hAnsi="Times New Roman" w:cs="Times New Roman"/>
          <w:b/>
          <w:color w:val="000000" w:themeColor="text1"/>
        </w:rPr>
        <w:t>Транспорт  та  зв’язок</w:t>
      </w:r>
    </w:p>
    <w:p w:rsidR="00116A6F" w:rsidRPr="00A07F41" w:rsidRDefault="00116A6F" w:rsidP="00116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Дунаєвецька міська рада має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добре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розвинуту транспортну мережу. Зовнішні і внутрішні транспортні зв’язки громади здійснюються автомобільним транспортом. </w:t>
      </w:r>
    </w:p>
    <w:p w:rsidR="00116A6F" w:rsidRPr="00A07F41" w:rsidRDefault="00116A6F" w:rsidP="00116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Населені пункти громади забезпечені регулярним автобусним сполученням та багаторазовим автобусним сполученням, обласним центром, окремими районними центрами Хмельницької області, з містами Киї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Вінниця, Чернівці, Тернопіль, Львів. </w:t>
      </w:r>
    </w:p>
    <w:p w:rsidR="00116A6F" w:rsidRPr="00A07F41" w:rsidRDefault="00116A6F" w:rsidP="00116A6F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A07F41">
        <w:rPr>
          <w:color w:val="000000" w:themeColor="text1"/>
        </w:rPr>
        <w:t>На території громади створені і працюють 27 обєктів поштового зв’язку, з них 21 сільських відділень зв’язку, 2 - в мі</w:t>
      </w:r>
      <w:proofErr w:type="gramStart"/>
      <w:r w:rsidRPr="00A07F41">
        <w:rPr>
          <w:color w:val="000000" w:themeColor="text1"/>
        </w:rPr>
        <w:t>ст</w:t>
      </w:r>
      <w:proofErr w:type="gramEnd"/>
      <w:r w:rsidRPr="00A07F41">
        <w:rPr>
          <w:color w:val="000000" w:themeColor="text1"/>
        </w:rPr>
        <w:t xml:space="preserve">і, 4 точки присутності. </w:t>
      </w:r>
    </w:p>
    <w:p w:rsidR="00116A6F" w:rsidRPr="00A07F41" w:rsidRDefault="00116A6F" w:rsidP="00116A6F">
      <w:pPr>
        <w:pStyle w:val="a8"/>
        <w:ind w:firstLine="676"/>
        <w:jc w:val="both"/>
        <w:rPr>
          <w:rFonts w:ascii="Times New Roman" w:hAnsi="Times New Roman" w:cs="Times New Roman"/>
          <w:b/>
          <w:color w:val="000000" w:themeColor="text1"/>
        </w:rPr>
      </w:pPr>
      <w:r w:rsidRPr="00A07F41">
        <w:rPr>
          <w:rFonts w:ascii="Times New Roman" w:hAnsi="Times New Roman" w:cs="Times New Roman"/>
          <w:color w:val="000000" w:themeColor="text1"/>
        </w:rPr>
        <w:t xml:space="preserve">     </w:t>
      </w:r>
      <w:r w:rsidRPr="00A07F4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16A6F" w:rsidRPr="00A07F41" w:rsidRDefault="00116A6F" w:rsidP="00116A6F">
      <w:pPr>
        <w:spacing w:after="6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Житлово-комунальні послуги</w:t>
      </w:r>
    </w:p>
    <w:p w:rsidR="00116A6F" w:rsidRPr="00A07F41" w:rsidRDefault="00116A6F" w:rsidP="00116A6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КП «Міськводоканал»: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послугами централізованого водопостачання користуються 19 тис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ителів нашої громади, що становить 48,7 % від загальної кількості населення. Протяжність міської водопровідної мережі становить 92,0 км та 34,6 км водопровідної мережі в 8 населених пунктах об’єднаної територіальної громади. </w:t>
      </w:r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 особливості рельєфу каналізовано лише 42% території міста, а послугами каналізації користується 31% жителі</w:t>
      </w:r>
      <w:proofErr w:type="gramStart"/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16A6F" w:rsidRPr="00A07F41" w:rsidRDefault="00116A6F" w:rsidP="00116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A6F" w:rsidRPr="00A07F41" w:rsidRDefault="00116A6F" w:rsidP="00116A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КП теплових мереж ДМР: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підприємство утримує 4 котельні. За опалювальний сезон 201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7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та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р.р. підприємством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планується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реалізова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ти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9,7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кал. теплової енергії, з них:</w:t>
      </w:r>
    </w:p>
    <w:p w:rsidR="00116A6F" w:rsidRPr="00A07F41" w:rsidRDefault="00116A6F" w:rsidP="00116A6F">
      <w:pPr>
        <w:pStyle w:val="a5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населення –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4,7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кал;</w:t>
      </w:r>
    </w:p>
    <w:p w:rsidR="00116A6F" w:rsidRPr="00A07F41" w:rsidRDefault="00116A6F" w:rsidP="00116A6F">
      <w:pPr>
        <w:pStyle w:val="a5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для бюджетних споживачів – 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5,0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тис</w:t>
      </w:r>
      <w:proofErr w:type="gramStart"/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</w:t>
      </w:r>
      <w:proofErr w:type="gramEnd"/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116A6F" w:rsidRPr="00A07F41" w:rsidRDefault="00116A6F" w:rsidP="00116A6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16A6F" w:rsidRPr="00A07F41" w:rsidRDefault="00116A6F" w:rsidP="00116A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КП «ЖЕО має на балансі та обслуговуванні:</w:t>
      </w:r>
    </w:p>
    <w:p w:rsidR="00116A6F" w:rsidRPr="00A07F41" w:rsidRDefault="00116A6F" w:rsidP="00116A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97 будинків, загальною площею 125, 9 тис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.м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2;</w:t>
      </w:r>
    </w:p>
    <w:p w:rsidR="00116A6F" w:rsidRPr="00A07F41" w:rsidRDefault="00116A6F" w:rsidP="00116A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дорожньо-мостове господарство, яке включає 99,02 км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оріг, 35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,657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тис. м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>2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тротуарів;</w:t>
      </w:r>
    </w:p>
    <w:p w:rsidR="00116A6F" w:rsidRPr="00A07F41" w:rsidRDefault="00116A6F" w:rsidP="00116A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мережі вуличного освітлення протяжністю 161,71 км, 2260 шт.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св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ітлоточок;</w:t>
      </w:r>
    </w:p>
    <w:p w:rsidR="00116A6F" w:rsidRPr="00A07F41" w:rsidRDefault="00116A6F" w:rsidP="00116A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зелене господарство в м. Дунаївці (парки, клумби,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зелен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 насадження);</w:t>
      </w:r>
    </w:p>
    <w:p w:rsidR="00116A6F" w:rsidRPr="00A07F41" w:rsidRDefault="00116A6F" w:rsidP="00116A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міський полігон твердих побутових відході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116A6F" w:rsidRPr="00A07F41" w:rsidRDefault="00116A6F" w:rsidP="00116A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6A6F" w:rsidRPr="00150DED" w:rsidRDefault="00116A6F" w:rsidP="00116A6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КП ДМР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«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Благоустрій Дунаєвеччини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»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ідприємство надає послуги з благоустрою населених пунктів Дунаєвецької міської ОТГ, а саме утримує території у належному стані, проводить санітарні очистки, заходи щодо збереження об’єктів загального користування, виконання комплексу робіт з улаштування покриття доріг і тротуарів, озеленення територій, забезпеченн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зовнішнього освітлення вулиц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ь.</w:t>
      </w:r>
    </w:p>
    <w:p w:rsidR="00116A6F" w:rsidRPr="00A07F41" w:rsidRDefault="00116A6F" w:rsidP="00116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A6F" w:rsidRPr="00A07F41" w:rsidRDefault="00116A6F" w:rsidP="00116A6F">
      <w:pPr>
        <w:pStyle w:val="a6"/>
        <w:jc w:val="center"/>
        <w:rPr>
          <w:b/>
          <w:color w:val="000000" w:themeColor="text1"/>
          <w:sz w:val="24"/>
          <w:lang w:eastAsia="uk-UA"/>
        </w:rPr>
      </w:pPr>
      <w:r w:rsidRPr="00A07F41">
        <w:rPr>
          <w:b/>
          <w:color w:val="000000" w:themeColor="text1"/>
          <w:sz w:val="24"/>
          <w:lang w:eastAsia="uk-UA"/>
        </w:rPr>
        <w:t>Інвестиційна діяльність</w:t>
      </w:r>
    </w:p>
    <w:p w:rsidR="00116A6F" w:rsidRPr="00A07F41" w:rsidRDefault="00116A6F" w:rsidP="00116A6F">
      <w:pPr>
        <w:pStyle w:val="a6"/>
        <w:jc w:val="center"/>
        <w:rPr>
          <w:b/>
          <w:color w:val="000000" w:themeColor="text1"/>
          <w:sz w:val="24"/>
          <w:lang w:eastAsia="uk-UA"/>
        </w:rPr>
      </w:pPr>
    </w:p>
    <w:p w:rsidR="00116A6F" w:rsidRPr="00A07F41" w:rsidRDefault="00116A6F" w:rsidP="00116A6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Дунаєвецькою міською радою протягом 201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проведено роботу з розроблення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нвестиційних проектів для залучення коштів на розвиток інфраструктури за кошти </w:t>
      </w:r>
      <w:proofErr w:type="gram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державного</w:t>
      </w:r>
      <w:proofErr w:type="gramEnd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фонду регіонального розвитку, субвенцій з державного бюджету, грантові кошти.</w:t>
      </w:r>
    </w:p>
    <w:p w:rsidR="00116A6F" w:rsidRPr="00A07F41" w:rsidRDefault="00116A6F" w:rsidP="00116A6F">
      <w:pPr>
        <w:tabs>
          <w:tab w:val="left" w:pos="595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з постановою 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 зі змінами та </w:t>
      </w:r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Дунаєвецька міська об’єднана територіальна громада запланувала  9624,2 тис.грн. (субвенція з державного бюджету) та 239,88 (співфінансування з місцевого бюджету) на формування інфраструктури, в зв’язку з чим було розроблено проекти згідно пунктів плану соціально-економічного розвитку ОТГ Дунаєвецької міської ради. 17 проектів були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погоджені  комісією Міністерства регіонального розвитку, будівництва та житлово-комунального господарства України від 24.05.2018 року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Станом на 01.12.2018р. освоєно 76% субвенції та реалізовано 11 проектів.</w:t>
      </w:r>
    </w:p>
    <w:p w:rsidR="00116A6F" w:rsidRPr="00A07F41" w:rsidRDefault="00116A6F" w:rsidP="00116A6F">
      <w:pPr>
        <w:widowControl w:val="0"/>
        <w:tabs>
          <w:tab w:val="left" w:pos="0"/>
          <w:tab w:val="left" w:pos="709"/>
          <w:tab w:val="left" w:pos="595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Відповідно до постанови Кабінету Міністрів України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від 18 березня 2015 року №196 «</w:t>
      </w:r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Деякі питання державн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ого фонду регіонального розвитку»</w:t>
      </w:r>
      <w:r w:rsidRPr="00A07F4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(зі змінами) у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2018  році  за  рахунок  коштів  державного  фонду  регіонального розвитку    фінансується  2  проекта загальною вартістю 3893,95тис.грн.</w:t>
      </w:r>
    </w:p>
    <w:p w:rsidR="00116A6F" w:rsidRPr="00A07F41" w:rsidRDefault="00116A6F" w:rsidP="00116A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Згідно постанови Кабінету Міністрів України від </w:t>
      </w:r>
      <w:r w:rsidRPr="00A07F4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 червня 2018 р. №</w:t>
      </w:r>
      <w:r w:rsidRPr="00A07F41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07F41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423-р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«</w:t>
      </w: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Деякі питання надання у 2018 році субвенції з державного бюджету місцевим бюджетам на здійснення заходів щодо соціально-економічного розвитку окремих територій»  затверджено перелік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об’єктів (заходів), що фінансуються у 2018 році за рахунок субвенції, зокрема  Дунаєвецькій міській ОТГ виділено 6064,598 тис.грн під реалізацію 5 проектів.</w:t>
      </w:r>
    </w:p>
    <w:p w:rsidR="00116A6F" w:rsidRPr="00A07F41" w:rsidRDefault="00116A6F" w:rsidP="0011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6A6F" w:rsidRPr="00A07F41" w:rsidRDefault="00116A6F" w:rsidP="00116A6F">
      <w:pPr>
        <w:tabs>
          <w:tab w:val="left" w:pos="993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ІІ. Пояснення щодо розрахунку дохідної частини міського бюджету на 2019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ік</w:t>
      </w:r>
    </w:p>
    <w:p w:rsidR="00116A6F" w:rsidRPr="00A07F41" w:rsidRDefault="00116A6F" w:rsidP="00116A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Фінансовий ресурс міського бюджету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сформований на основі норм чинного Податкового і Бюджетного кодексів України із врахуванням проекту змін податкового та бюджетного законодавства, зокрема тих, які стосуються податку та збору на доходи фізичних осіб за оренду земельних часток (паїв) за місцем з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аходження таких об’єктів, зарахування 5% рентної плати за користування надрами загальнодержавного значення, 37 % рентної плати за спеціальне використання лісових ресурсів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частині деревини, заготовленої в порядку рубок головного користування, запровадження земельного податку на лісові землі та ін. При прогнозуванні було враховано фактичне виконання дохідної частини бюджету за результатами 11 місяців 2018 року</w:t>
      </w:r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116A6F" w:rsidRPr="00A07F41" w:rsidRDefault="00116A6F" w:rsidP="00116A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 сума дохідної частини міського бюджету розрахована в сумі 237 321,8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в тому числі доходи загального фонду становлять 232 280,1 тис.грн., спеціального – 5 041,7 тис.грн.</w:t>
      </w:r>
    </w:p>
    <w:p w:rsidR="00116A6F" w:rsidRPr="00A07F41" w:rsidRDefault="00116A6F" w:rsidP="00116A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власних доходів загального фонду бюджету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ік становить  106 009,1тис.грн.,  що 8000 тис.грн. або 8,2% більше від очікуваного показника 2018 року. </w:t>
      </w:r>
    </w:p>
    <w:p w:rsidR="00116A6F" w:rsidRPr="00A07F41" w:rsidRDefault="00116A6F" w:rsidP="00116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Основним джерелом надходжень загального фонду є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податок та збі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доходи фізичних осіб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він  становить 59,1% від прогнозного показника доходів загального фонду 2019 року. Згідно норм Бюджетного кодексу України до бюджету ОТГ зараховується 60% податку на доходи фізичних осіб, який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справляється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території громади. Прогнозний показник ПДФО  розраховано в сумі 62 642,4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що на 7200 тис.грн. або на  12,9%  більше від  очікуваних надходжень 2018 року.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Основні чинники, які вплинуть на надходження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податку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доходи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фізичних осіб:</w:t>
      </w:r>
    </w:p>
    <w:p w:rsidR="00116A6F" w:rsidRPr="00A07F41" w:rsidRDefault="00116A6F" w:rsidP="00116A6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збереження єдиної ставки (18%) оподаткування доходів фізичних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A6F" w:rsidRPr="00A07F41" w:rsidRDefault="00116A6F" w:rsidP="00116A6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ідвищення мінімальної заробітної плати та прожиткового мінімуму;</w:t>
      </w:r>
    </w:p>
    <w:p w:rsidR="00116A6F" w:rsidRPr="00A07F41" w:rsidRDefault="00116A6F" w:rsidP="00116A6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зниження податкового навантаження на громадян, за рахунок надання податкової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іальної пільги на рівні 50% прожиткового мінімуму для працездатних осіб для будь-якого платника податку за умови, що дохід не перевищує 1,4 прожиткового мінімуму для працездатних осіб;</w:t>
      </w:r>
    </w:p>
    <w:p w:rsidR="00116A6F" w:rsidRPr="00A07F41" w:rsidRDefault="00116A6F" w:rsidP="00116A6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зарахування податку на доходи фізичних осіб від доході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паї до бюджету за місцем знаходження таких об’єктів оренди; </w:t>
      </w:r>
    </w:p>
    <w:p w:rsidR="00116A6F" w:rsidRPr="00A07F41" w:rsidRDefault="00116A6F" w:rsidP="00116A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По кодах класифікації податок та збі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доходи фізичних осіб заплановано наступним чином:</w:t>
      </w:r>
    </w:p>
    <w:p w:rsidR="00116A6F" w:rsidRPr="00A07F41" w:rsidRDefault="00116A6F" w:rsidP="00116A6F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11010100 Податок на доходи фізичних осіб, що сплачується податковими агентами, із доходів платника податку у вигляді заробітної плати – 51 145,4 тис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рн. Розрахунок здійснено з врахуванням 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прогнозного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обсягу фонду оплати праці, кількості працюючого населення, а також бази та ставок оподаткування доходів фізичних осіб, передбачених нормами Податкового кодексу. 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іст до очікуваних фактичних надходжень 2018 року становить 15,9% (+7 052,7 тис.грн.).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Враховано ризик можливого зменшення кількості найманих працівників приватних підприємців 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зв’язку з ростом мінімальної заробітної плати та єдиного соціального внеску.</w:t>
      </w:r>
    </w:p>
    <w:p w:rsidR="00116A6F" w:rsidRPr="00A07F41" w:rsidRDefault="00116A6F" w:rsidP="00116A6F">
      <w:pPr>
        <w:numPr>
          <w:ilvl w:val="0"/>
          <w:numId w:val="2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 11010200 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 – 2 725,0 тис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рн. Збільшення надходжень порівняно з 2018 роком становить 340,3 тис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рн. або 14,3%.</w:t>
      </w:r>
    </w:p>
    <w:p w:rsidR="00116A6F" w:rsidRPr="00A07F41" w:rsidRDefault="00116A6F" w:rsidP="00116A6F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11010400 Податок на доходи фізичних осіб, що сплачується податковими агентами, із доходів платника податку інших ніж заробітна плата – 7 980,0 тис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рн.: очікується надходження ПДФО за оренду паїв. Розрахунок проведено, виходячи із площ орендованих паїв та розміру орендної плати за 2018 рік. </w:t>
      </w:r>
    </w:p>
    <w:p w:rsidR="00116A6F" w:rsidRPr="00A07F41" w:rsidRDefault="00116A6F" w:rsidP="00116A6F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11010500 Податок на доходи фізичних осіб, що сплачується фізичними особами за результатами </w:t>
      </w:r>
      <w:proofErr w:type="gramStart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ічного декларування – 792,0 тис.грн.: на рівні очікуваних надходжень 2018 року.</w:t>
      </w:r>
    </w:p>
    <w:p w:rsidR="00116A6F" w:rsidRPr="00A07F41" w:rsidRDefault="00116A6F" w:rsidP="00116A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Розрахунок прогнозної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рентної плати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спеціальне використання лісових ресурсів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у сумі 14,6 тис.грн. здійснено з урахуванням динаміки надходжень за попередні роки та надходжень поточного року.. Ріст становить 1,3 тис.грн. або 9,7% до очікуваних надходжень 2018 року.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Прогнозний показник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рентної плати за користування надрами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місцевого бюджету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становить 5,7 тис.грн., порівняно із очікуваним показником на 2018 рік, збільшуються на 0,6 тис.грн. або на 10,9 відсотка.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Змінами до бюджетного законодавства від 22.11.2018 року №9084 передбачено  зараховування з 01.01.2019 року до міського бюджету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 відсотків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 рентної плати за користування надрами загальнодержавного значення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прогнозний показник на 2019 рік становить 11,8 тис.грн.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Також вищевказаними змінами передбачено зарахування до бюджету громади 37%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рентної плати за спеціальне використання лісових ресурсів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частині деревини, заготовленої в порядку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рубок головного користування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Розрахунок здійснено з врахуванням фактичних надходжень податку до державного та обласного бюджету за 11 місяців 2018 року - прогнозний показник на наступний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становить 300,0 тис.грн.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Сума очікуваних надходжень 2018 року по </w:t>
      </w:r>
      <w:r w:rsidRPr="00A07F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акцизному податку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становить 6 162,0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з врахуванням запропонованого МФУ росту до очікуваного показника 2018 року у розмірі 7,4%.  При плануванні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податку з вироблених та ввезених на митну територію України підакцизних товарів (пальне) враховано очікуваний розмір надходжень за ІІ півріччя 2018 року,  які  становлять 4 612,6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рн.. Акцизний податок з роздрібної торгівлі підакцизними товарами запланований в сумі 1 549,4 тис.грн. – з розрахунку середньомісячних надходжень 2018 року в сумі 120,0 тис.грн. та росту 7,4% до очікуваних надходжень податку до кінця року.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Податок на нерухоме майно, відмінне від земельної ділянки</w:t>
      </w:r>
      <w:r w:rsidRPr="00A07F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заплановано згідно норм Податкового кодексу України та з урахуванням росту з 1 січня 2019 року мінімальної заробітної плати до 4173 грн. Податок розраховано в сумі 1 086,1тис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рн., в тому числі від юридичних та фізичних осіб, які є власниками житлової нерухомості очікується відповідно 50,0 тис.грн. та 390,5 тис.грн., від фізичних та юридичних осіб, які є власниками нежитлової нерухомості – відповідно 375,6 тис.грн та 270,0 тис.грн. В 2019 році податок з фізичних та юридичних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осіб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 справлятися за ставками, затвердженими в 2018 році.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Плати за землю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заплановано 12 590,0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рн.. Прогноз надходжень орендної плати за землю розраховано відповідно до діючих договорів оренди в межах та за межами населених пунктів об’єднаної громади  в сумі 9 900,0 тис.грн.: станом на 01.12.2018р. діє 306 договорів оренди, в тому числі 176  договорів – це оренда земельних ділянок в межах населених пунктів (в т.ч. 159 – місто, 17 – села) та 130 догові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оренда за межами населених пунктів (в тому числі 112 договорів – землі сільськогосподарського призначення, 13 договори – водний фонд, 5 – землі комерційного та іншого призначення). Орендної плати з юридичних осіб заплановано менше від очікуваних надходжень 2018 року на 800,0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рн.: причиною зменшення є сплата  у жовтні місяці 2018 року  згідно умов договорів про проведення земельного аукціону коштів у сумі 482,0 тис.грн. за 2019 рік. Крім цього 18 грудня 2018 року заплановано проведення земельних торгів ще по 4 земельних ділянках площею 141,3 га  очікувана прогнозна сума сплати по яких у поточному році становить -  1000,0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Земельний податок заплановано у сумі 1 390,0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з юридичних осіб та 1 300,0 тис.грн. з громадян та приватних підприємців. Змінами до Податкового кодексу України №9260 від 23.11.2018 року передбачено зарахування у 2019 році до місцевих бюджетів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земельного податку на лісові землі у розмірі не більше 0,1% від нормативно-грошової оцінки. Враховуючи, що на території Дунаєвецької міської ради площа лісових земель, що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ідлягає оподаткуванню становить 9222 га, а середньообласний розмір нормативно-грошової оцінки лісових земель становить 29 841,36 тис.грн.,  розрахункова сума надходжень земельного податку за лісові землі становить 238,5 тис.грн. 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Прогнозні надходження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транспортного податку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заплановані в обсязі 200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Згідно норм Податкового кодексу України об’єктом оподаткування є легкові автомобілі, з року випуску яких минуло не більше п’яти років (включно) та середньоринкова вартість яких становить понад 375 розмі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ів мінімальної заробітної плати, встановленої законом на 1 січня податкового (звітного) року. По Дунаєвецькій міській раді згідно даних Дунаєвецького відділення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Кам’янець-Подільської ОДПІ та РСЦ МВС платниками транспортного податку є  фізичні особи (7 автотранспортних засобів) та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«Козацька долина» (1 автотранспортний засіб).</w:t>
      </w:r>
    </w:p>
    <w:p w:rsidR="00116A6F" w:rsidRPr="00A07F41" w:rsidRDefault="00116A6F" w:rsidP="00116A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Прогнозний показник 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єдиного податку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становить 19 890,8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і  збільшується порівняно із очікуваним фактичним показником  2018 року на 1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43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5,8 тис.грн., або на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відсотка. Платник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єдинщики юридичні особи (73 платники) прогнозовано сплатять 1900,0 тис.грн. (ріст до фактичних надходжень становить 7,8% або 139,0 тис.грн.). План надходжень єдиного податку для фізичних осіб (1202 платники) розраховано окремо по групах з врахуванням росту ставок в зв’язку із збільшенням мінімальної заробітної плати з 3723 грн. до 4173 грн. – 10 990,8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рн., що на 11,0% або 1 090,8 тис.грн. більше від фактичних надходжень 2018 року. Сільськогосподарські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 (платники 4 групи) очікувано сплатять 7 000 тис.грн. (розрахунок здійснено за даними ГУ Дунаєвецьке відділення  Кам’янець- Подільської ОДПІ ГУ ДФС  у Хмельницькій області.)</w:t>
      </w:r>
    </w:p>
    <w:p w:rsidR="00116A6F" w:rsidRPr="00A07F41" w:rsidRDefault="00116A6F" w:rsidP="00116A6F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Туристичний збі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заплановано на рівні очікуваного показника 2018 року у сумі 5 тис.грн.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 в бюджет міської ОТГ у 2019 році планується отримати 141,4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адміністративних штрафів,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тому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порушення законодавства в сфері виробництва та обігу алкогольних напоїв та тютюнових виробів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сумі 100 тис.грн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12 тис.грн. надходжень зі сплати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земельного сервітуту</w:t>
      </w:r>
      <w:r w:rsidRPr="00A07F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згідно укладених договорів оренди.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Адміністративного збору за державну реєстрацію речових прав на нерухоме майно та їх обтяжень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проведення державної реєстрації юридичних осіб, фізичних осіб –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ідприємців та громадських формувань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планується отримати у 2019 році 350 тис.грн. та 35 тис.грн. відповідно.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Плата за надання інших адміністративних послуг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запланована у сумі 2 400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Розрахунки проведені на основі фактичних надходжень за 11 місяців 2018 року.</w:t>
      </w:r>
      <w:proofErr w:type="gramEnd"/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Надходження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коштів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 орендної плати за користування цілісним майновим комплексом та іншим майном, що перебуває в комунальній власності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прогнозується відповідно до діючих договорів оренди в сумі 133 тис.грн.</w:t>
      </w:r>
    </w:p>
    <w:p w:rsidR="00116A6F" w:rsidRPr="00A07F41" w:rsidRDefault="00116A6F" w:rsidP="00116A6F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 xml:space="preserve">Державне мито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розраховано з врахуванням фактичних надходжень за 2018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ік: в 2019 році планується отримати 41,3 тис.грн. державного мита.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Міжбюджетні трансферти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 державного бюджету (базова дотація освітня та медична субвенції) заплановані в сумі 126 271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рн., в т.ч.: </w:t>
      </w:r>
    </w:p>
    <w:p w:rsidR="00116A6F" w:rsidRPr="00A07F41" w:rsidRDefault="00116A6F" w:rsidP="00116A6F">
      <w:pPr>
        <w:numPr>
          <w:ilvl w:val="0"/>
          <w:numId w:val="3"/>
        </w:numPr>
        <w:tabs>
          <w:tab w:val="clear" w:pos="720"/>
          <w:tab w:val="left" w:pos="21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 дотація – 18 419,4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numPr>
          <w:ilvl w:val="0"/>
          <w:numId w:val="3"/>
        </w:numPr>
        <w:tabs>
          <w:tab w:val="clear" w:pos="720"/>
          <w:tab w:val="left" w:pos="21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освітня субвенція – 69 781,7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numPr>
          <w:ilvl w:val="0"/>
          <w:numId w:val="3"/>
        </w:numPr>
        <w:tabs>
          <w:tab w:val="clear" w:pos="720"/>
          <w:tab w:val="left" w:pos="21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медична субвенція – 25 429,7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numPr>
          <w:ilvl w:val="0"/>
          <w:numId w:val="3"/>
        </w:numPr>
        <w:tabs>
          <w:tab w:val="clear" w:pos="720"/>
          <w:tab w:val="left" w:pos="21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дотація з місцевого бюджету на здійснення переданих з державного бюджету видатків з утримання закладів освіти та охорони здоров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`я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рахунок відповідної додаткової дотації з державного бюджету – 11 334,7 тис.грн.</w:t>
      </w:r>
    </w:p>
    <w:p w:rsidR="00116A6F" w:rsidRPr="00A07F41" w:rsidRDefault="00116A6F" w:rsidP="00116A6F">
      <w:pPr>
        <w:numPr>
          <w:ilvl w:val="0"/>
          <w:numId w:val="3"/>
        </w:numPr>
        <w:tabs>
          <w:tab w:val="clear" w:pos="720"/>
          <w:tab w:val="left" w:pos="21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субвенція з місцевого бюджету на здійснення переданих видатків у сфері освіти за рахунок коштів освітньої субвенції – 837,4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numPr>
          <w:ilvl w:val="0"/>
          <w:numId w:val="3"/>
        </w:numPr>
        <w:tabs>
          <w:tab w:val="clear" w:pos="720"/>
          <w:tab w:val="left" w:pos="21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– 468,1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Прогнозна сума доходів спеціального фонду міського бюджету розрахована в сумі 5 041,7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Згідно статті 69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/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кодексу України у складі спеціального фонду міського бюджету плануються власні надходження бюджетних установ в обсязі 5 002,6тис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 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 освіти, молоді та спорту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Дунаєвецької міської ради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2019 році планує отримати 4 215,8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власних надходжень, зокрема плата за оренду майна бюджетних установ згідно договорів – 32,5 тис.грн., доплата за харчування учнів та інші послуги – 4 177,3 тис.грн., від господарської діяльності – 6 тис.грн. По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КЗ «Територіальний центр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іального обслуговування»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заплановано 50 тис.грн. плати за послуги населенню. Надходження власних коштів по спеціальному фонду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 «Міський культурно-мистецький, просвітницький центр»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очікується у сумі 84,6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–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за оренду майна становить 33,1 тис.грн. та платні послуги (майстер-класи з декоративно-ужиткового мистецтва, прокат сценічних костюмів, молодіжні вечори та вечори відпочинку тощо) – 51,5 тис.грн. Планові надходження спецфонду 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 «Дунаєвецька дитяча школа мистецтв»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становлять 469,7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тому числі батьківська плата за навчання – 465,9 тис.грн. та прокат музичних інструментів – 3,7 тис.грн.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 «Дунаєвецька міська бібліотека»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прогнозовано отримає від плати за послуги 17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«Спорт для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іх»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плати за оренду майна планує отримати 22,0 тис.грн. та плати за послуги 140,5 тис.грн.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Прогнозні надходження 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екологічного податку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передбачені в сумі 39,1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 проведено відповідно даних Дунаєвецького відділення  Кам’янець-Подільської ОДПІ ГУ ДФС  у Хмельницькій області з врахуванням фактичної та прогнозованої кількості платників податку, за ставками в розрізі кожного виду забруднення, затвердженими Податковим кодексом України. </w:t>
      </w:r>
      <w:proofErr w:type="gramEnd"/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ІІІ. Пояснення до запропонованих обсягів видатків</w:t>
      </w:r>
    </w:p>
    <w:p w:rsidR="00116A6F" w:rsidRPr="00A07F41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міського бюджету на 2019 </w:t>
      </w:r>
      <w:proofErr w:type="gramStart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ік</w:t>
      </w:r>
    </w:p>
    <w:p w:rsidR="00116A6F" w:rsidRPr="00A07F41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Фінансовий ресурс міського бюджету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сформовано з урахуванням Бюджетного  кодексу України, Податкового кодексу України та основних прогнозних показників економічного і соціального розвитку України на 2019 рік.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Видаткова частина сформована на основі поданих головними розпорядниками коштів міського бюджету бюджетних запитів та забезпечує в повній мі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видатки на оплату праці працівників бюджетної сфери, розрахованої виходячи із розміру посадового окладу працівника І тарифного розряду Єдиної тарифної сітки з 1 січня 2019 року – 1921 гривень та розміру мінімальної заробітної плати з 1 січня 2019 року – 4173 гривень.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Крім того, для розрахунку потреби в коштах на оплату комунальних послуг та енергоносіїв до діючих тарифів застосовано коефіцієнти росту, які передбачені особливостями складання розрахунків до проектів місцевих бюджетів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(лист Міністерства фінансів України від 06.08.2018 року № 05110-14-8/20820).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Обсяг видатків міського бюджету на 2019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 рік обрахований в сумі  237 321,8 тис.грн., в т.ч. видатки загального фонду визначені в сумі 232 162,1 тис.грн. та спеціального фонду –    5 159,7 тис.грн. Видатки заплановані на утримання бюджетних установ та закладів міської ради, зокрема 23 садочки, 24 загальноосвітніх школи (в т.ч. 8 НВК «школа-садочок»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позашкільних та інших закладів освіти, КУ «Дунаєвецька міська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публічно-шкільна бібліотека»,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 «М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іський культурно-мистецький просвітницький центр», КЗ «Дунаєвецька дитяча школа мистецтв», КУ «Міський центр комплексної реабілітації дітей з інвалідністю «Ластівка»», КУ «Територіальний центр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іального обслуговування», КУ «Дунаєвецька дитячо-юнацька спортивна школа», КУ «Спорт для всіх», а також утримання апарату міської ради, старост, фінансового управління та ін.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Фінансовий ресурс для забезпечення фінансування видатків загального фонду становить 232 280,1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в тому числі :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власні  доходи –  106 009,1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</w:p>
    <w:p w:rsidR="00116A6F" w:rsidRPr="00A07F41" w:rsidRDefault="00116A6F" w:rsidP="00116A6F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міжбюджетні трансферти – 126 271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з них:</w:t>
      </w:r>
    </w:p>
    <w:p w:rsidR="00116A6F" w:rsidRPr="00A07F41" w:rsidRDefault="00116A6F" w:rsidP="00116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widowControl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 базова дотація з державного бюджету – 18 419,4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widowControl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 дотація з місцевого бюджету на здійснення переданих з державного бюджету видатків з   утримання закладів освіти та охорони здоров&amp;apos;я за рахунок відповідної додаткової дотації з державного бюджету – 11 334,7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widowControl w:val="0"/>
        <w:numPr>
          <w:ilvl w:val="0"/>
          <w:numId w:val="5"/>
        </w:numPr>
        <w:tabs>
          <w:tab w:val="left" w:pos="495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освітня субвенція з державного бюджету -  69 781,7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widowControl w:val="0"/>
        <w:numPr>
          <w:ilvl w:val="0"/>
          <w:numId w:val="5"/>
        </w:numPr>
        <w:tabs>
          <w:tab w:val="left" w:pos="495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медична субвенція з державного бюджету – 25 429,7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 </w:t>
      </w:r>
    </w:p>
    <w:p w:rsidR="00116A6F" w:rsidRPr="00A07F41" w:rsidRDefault="00116A6F" w:rsidP="00116A6F">
      <w:pPr>
        <w:widowControl w:val="0"/>
        <w:numPr>
          <w:ilvl w:val="0"/>
          <w:numId w:val="5"/>
        </w:numPr>
        <w:tabs>
          <w:tab w:val="left" w:pos="495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– 468,1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widowControl w:val="0"/>
        <w:numPr>
          <w:ilvl w:val="0"/>
          <w:numId w:val="5"/>
        </w:numPr>
        <w:tabs>
          <w:tab w:val="left" w:pos="495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субвенція з місцевого бюджету на здійснення переданих видатків у сфері освіти за рахунок коштів освітньої субвенції – 837,4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видатків на галузь «Управління» відноситься утримання апарату міської ради, керівництво управлінням освіти, молоді та спорту, управління культури, відділ праці та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іального захисту населення та фінансове управління. На галузь заплановано  20 612,8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рн., з них оплата праці разом з нарахуваннями – 18 257,2 тис.грн. та оплата енергоносіїв – 840,6 тис.грн..  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галузі «Освіта» видатки загального фонду заплановані в сумі  148 725,9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рн.. Джерела фінансування освітянської галузі: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  освітня субвенція з Державного бюджету місцевим бюджетам – 69 781,7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рн.;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субвенція з обласного бюджету на здійснення переданих видатків у сфері освіти за рахунок коштів освітньої субвенції на утримання Інклюзивно-ресурсного центру – 837,4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рн.;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дотація з обласного бюджету на здійснення переданих з державного бюджету видатків з  утримання закладів освіти – 11 334,7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рн;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 кошти міського бюджету – 66 772,1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Видатки загального фонду на заробітню плату з нарахуваннями становлять 122 471,4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оплату комунальних послуг та енергоносіїв – 16 071,7 тис.грн. харчування – 4 213,6 тис.грн. Видатки спеціального фонду заплановані в сумі 4 707,5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дошкільну освіту  передбачені видатки загального фонду в сумі 27 115,4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рн.., в тому числі: зарплата з нарахуваннями – 19 242,5 тис.грн., оплата енергоносіїв – 4 038,1 тис.грн., видатки на харчування – 2 302,2 тис.грн. (враховано батьківську плату  в місті – 60 відсотків, в селах – 40 відсотків). Видатки спеціального фонду становлять 1 849,5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утримання загальноосвітніх навчальних закладів заплановано 103 795,3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видатків загального фонду. Крім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іжбюджетних трансфертів на видатки по КПК 0611020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спрямовано 22 678,9 тис.грн. коштів міського бюджету. На оплату праці з нарахуваннями заплановано 87 567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рн.(з них 17 785,3 тис.грн. – кошти міського бюджету, 69 781,7 тис.грн. – освітня субвенція з державного бюджету), на енергоносії та комунальні послуги – 10 926 тис.грн., харчування учнів – 1 911,4 тис.грн. (учні пільгових категорій всіх класів (діти учасників АТО, діти-сироти, діти позбавлені батьківського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іклування, діти з малозабезпечених сімей та ін.) харчуються безкоштовно;  для батьків учнів 1-4 класів встановлено батьківську плату в розмірі 40%).  Видатки спеціального фонду – 2 354,4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Видатки загального фонду на позашкільну освіту та заходи із позашкільної роботи з дітьми  розраховані на утримання трьох комунальних установ (Станції юних туристів, Станції юних натуралі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 та Будинку творчості школяра) в сумі 6 760,3 тис.грн.: зарплата з нарахуваннями – 5 675,1 тис.грн., оплата енергоносіїв – 629,8 тис.грн. Спеціальний фонд складає 23,9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методичне забезпечення діяльності навчальних закладів передбачено 792,5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видатків, з них видатки на зарплату і нарахування -  654,5 тис.грн., енергоносії – 74  тис.грн.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Планові видатки на інші програми, заклади та заходи в сфері освіти (централізована бухгалтерія, група централізованого господарського обслуговування та  Інклюзивно-ресурсний центр) складають 3 984,3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На фінансування заробітної плати з нарахуваннями педагогічних працівників Інклюзивно-ресурсного центру передбачено 837,4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субвенції з обласного бюджету на здійснення переданих видатків у сфері освіти за рахунок коштів освітньої субвенції.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КЗ «Дунаєвецька дитяча школа мистецтв» фінансуватиметься за рахунок 6 278,2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коштів загального фонду міського бюджету: видатки на оплату праці з нарахуваннями становлять 6 003,3 тис.грн., енергоносії – 215 тис.грн. 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Видатки на галузь «Охорона здоров’я» сформовані, враховуючи затверджені галузеві міські Програми –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ідтримки КНП «Дунаєвецький центр первинної медико-санітарної допомоги» Дунаєвецької міської ради на 2018-2019 роки та «Медико-соціальне забезпечення пільгових та соціально-незахищених верств населення Дунаєвецької ОТГ на 2018-2019 роки». Загальна сума видатків становить 2 381,4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в тому числі енергоносії – 1 012,2 тис.грн., пільгові рецепти – 580 тис.грн., придбання слухових апаратів, тест-смужок, памперсів та кало приймачів – 350 тис.грн., видатки на стимулювання молодих спеціалістів-лікарів загальної практики сімейної медицини за перше робоче місце в сільській місцевості – 439,2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Крім того за рахунок відповідної субвенції з державного бюджету заплановані видатки на відшкодування вартості лікарських засобів для лікування окремих захворювань в сумі 468,1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Видатки на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іальний захист та соціальне забезпечення включають утримання двох комунальних установ «Територіальний центр соціального обслуговування» та «Міський центр комплексної реабілітації дітей з інвалідністю «Ластівка»», а також виплату допомог згідно цільової міської Програми соціального захисту населення,  видатки на оздоровлення та відпочинок дітей (крім заходів з оздоровлення дітей, що здійснюються за рахунок кошті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оздоровлення громадян,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постраждали внаслідок Чорнобильської катастрофи). На фінансування галузі в міському бюджеті передбачено 6 790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утримання КУ «Територіальний центр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іального обслуговування»  передбачені видатки загального фонду в сумі 4 152,9 тис. грн.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на заробітну плату з нарахуваннями заплановано 3 912,1 тис.грн., на оплату енергоносіїв – 158,4 тис.грн. Спеціальний фонд за рахунок надання платних послуг складає 50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КУ «Міський центр комплексної реабілітації дітей з інвалідністю «Ластівка»» передбачені видатки в сумі 1 123 тис. грн.: для забезпечення виплати заробітної плати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спрямовано 736,7 тис. грн., оплату енергоносіїв та комунальних послуг передбачено видатки в сумі  98,9 тис. грн., харчування дітей – 161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фінансування міської Програми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іального захисту населення передбачено 1 315,1 тис.грн. На 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 заплановано 199,0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галузі «Культура і мистецтво» в міському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бюджеті передбачені видатки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установах та заходах: 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 «Дунаєвецька міська публічно-шкільна бібліотека»: видатки загального фонду  – 2 926,5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(зарплата з нарахуваннями – 2 288,5 тис.грн., енергоносії – 408 тис.грн.), видатки спеціального фонду – 17 тис.грн; </w:t>
      </w:r>
    </w:p>
    <w:p w:rsidR="00116A6F" w:rsidRPr="00A07F41" w:rsidRDefault="00116A6F" w:rsidP="00116A6F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 «Міський культурно-мистецький просвітницький центр»: видатки загального фонду 4 741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(зарплата з нарахуваннями – 4 072,6 тис.грн., енергоносії – 485 тис.грн.) , видатки спеціального фонду – 96,6 тис.грн.</w:t>
      </w:r>
    </w:p>
    <w:p w:rsidR="00116A6F" w:rsidRPr="00A07F41" w:rsidRDefault="00116A6F" w:rsidP="00116A6F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 «Історико-краєзнавчий музей»: видатки загального фонду  – 407,4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(зарплата з нарахуваннями – 306,7 тис.грн., енергоносії – 89,3 тис.грн.), видатки спеціального фонду – 3 тис.грн; </w:t>
      </w:r>
    </w:p>
    <w:p w:rsidR="00116A6F" w:rsidRPr="00A07F41" w:rsidRDefault="00116A6F" w:rsidP="00116A6F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централізована бухгалтерія: видатки загального фонду  – 1 104,7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(зарплата з нарахуваннями – 830 тис.грн., енергоносії – 33,5 тис.грн.)</w:t>
      </w:r>
    </w:p>
    <w:p w:rsidR="00116A6F" w:rsidRPr="00A07F41" w:rsidRDefault="00116A6F" w:rsidP="00116A6F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 культурно-освітні заходи  –  445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Видатки, передбачені бюджетом на функціонування закладів фізичної культури і спорту, по загальному фонду складають 4 542,4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в тому числі на  утримання та навчально-тренувальну роботу КУ «Дунаєвецька дитячо-юнацька спортивна школа» – 2 629,7 тис.грн. (зарплата і нарахування на неї – 1 865,1 тис.грн., оплата енергоносіїв – 343,3 тис.грн.) та  утримання  та проведення спортивних заходів Центром фізичного здоров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”я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населення  „Спорт для всіх” –  1 912,6 тис.грн. (заробітна плата з нарахуваннями – 1 189 тис.грн., енергоносії – 230,8 тис.грн.). Видатки спеціального фонду заплановані по «Спорту для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іх» в сумі 162,5 тис.грн.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благоустрій населених пунктів громади заплановано 7 247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видатків загального фонду, з них 1 202,1 тис.грн. – оплата вуличного освітлення. На утримання доріг заплановано 5 209,3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На погашення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ізниці в тарифах передбачено 501,4 тис.грн.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загальному фонді міського бюджету передбачено передачу трансфертів районному бюджету в сумі 26 029,7 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рн., в тому числі субвенція з місцевого бюджету на здійснення переданих видатків у сфері охорони здоров`я за рахунок коштів медичної субвенції на утримання КУ районної ради «Центральна районна лікарня» - 25 429,7 тис.грн. та  інші субвенції на утримання трудового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іву, районної ради та оплати енергоносіїв по КУ «ЦРЛ» – 600 тис.грн.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Видатки бюджету розвитку заплановані в сумі 118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 (додаток 6 до рішення).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ІV. Інформація про хід виконання міського бюджету за 11 місяців 2018 року.</w:t>
      </w:r>
    </w:p>
    <w:p w:rsidR="00116A6F" w:rsidRPr="00A07F41" w:rsidRDefault="00116A6F" w:rsidP="00116A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11 місяців поточного року виконання дохідної частини загального фонду міського бюджету за власними доходами забезпечено на 105,6 відсотки: при планових уточнених станом на 01.12.2018 року призначеннях 83 778,4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  фактичні надходження склали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88 432,4 тис.грн. Темп росту надходжень до показника за січень-листопад минулого року склав 117,9 відсотка або +13 398,2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рн. </w:t>
      </w:r>
    </w:p>
    <w:tbl>
      <w:tblPr>
        <w:tblW w:w="0" w:type="auto"/>
        <w:tblCellSpacing w:w="0" w:type="dxa"/>
        <w:tblLook w:val="04A0"/>
      </w:tblPr>
      <w:tblGrid>
        <w:gridCol w:w="4633"/>
        <w:gridCol w:w="1500"/>
        <w:gridCol w:w="1379"/>
        <w:gridCol w:w="1126"/>
        <w:gridCol w:w="953"/>
      </w:tblGrid>
      <w:tr w:rsidR="00116A6F" w:rsidRPr="00A07F41" w:rsidTr="006D2D52">
        <w:trPr>
          <w:trHeight w:val="510"/>
          <w:tblCellSpacing w:w="0" w:type="dxa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на  січен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листопад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 за січень - листопад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+;-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116A6F" w:rsidRPr="00A07F41" w:rsidTr="006D2D52">
        <w:trPr>
          <w:trHeight w:val="570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ПДФО 60%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48 051,7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+1 808,3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103,8</w:t>
            </w:r>
          </w:p>
        </w:tc>
      </w:tr>
      <w:tr w:rsidR="00116A6F" w:rsidRPr="00A07F41" w:rsidTr="006D2D52">
        <w:trPr>
          <w:trHeight w:val="432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Плата за землю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складі плати за нерухоме майно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+1 128,1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</w:tr>
      <w:tr w:rsidR="00116A6F" w:rsidRPr="00A07F41" w:rsidTr="006D2D52">
        <w:trPr>
          <w:trHeight w:val="285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Єдиний податок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+1 470,6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109,4</w:t>
            </w:r>
          </w:p>
        </w:tc>
      </w:tr>
      <w:tr w:rsidR="00116A6F" w:rsidRPr="00A07F41" w:rsidTr="006D2D52">
        <w:trPr>
          <w:trHeight w:val="570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Податок на нерухоме майно, відмінне від земельної ділянки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+173,7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121,7</w:t>
            </w:r>
          </w:p>
        </w:tc>
      </w:tr>
      <w:tr w:rsidR="00116A6F" w:rsidRPr="00A07F41" w:rsidTr="006D2D52">
        <w:trPr>
          <w:trHeight w:val="285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Акцизний податок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101,4</w:t>
            </w:r>
          </w:p>
        </w:tc>
      </w:tr>
      <w:tr w:rsidR="00116A6F" w:rsidRPr="00A07F41" w:rsidTr="006D2D52">
        <w:trPr>
          <w:trHeight w:val="416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за надання інших адмінпослуг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</w:tr>
      <w:tr w:rsidR="00116A6F" w:rsidRPr="00A07F41" w:rsidTr="006D2D52">
        <w:trPr>
          <w:trHeight w:val="244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Адміністративні штрафи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92,6</w:t>
            </w:r>
          </w:p>
        </w:tc>
      </w:tr>
      <w:tr w:rsidR="00116A6F" w:rsidRPr="00A07F41" w:rsidTr="006D2D52">
        <w:trPr>
          <w:trHeight w:val="702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Надходження від орендної плати за користування цілісним майновим комплексом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112,9</w:t>
            </w:r>
          </w:p>
        </w:tc>
      </w:tr>
      <w:tr w:rsidR="00116A6F" w:rsidRPr="00A07F41" w:rsidTr="006D2D52">
        <w:trPr>
          <w:trHeight w:val="285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 надходження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+95,4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111,2</w:t>
            </w:r>
          </w:p>
        </w:tc>
      </w:tr>
      <w:tr w:rsidR="00116A6F" w:rsidRPr="00A07F41" w:rsidTr="006D2D52">
        <w:trPr>
          <w:trHeight w:val="300"/>
          <w:tblCellSpacing w:w="0" w:type="dxa"/>
        </w:trPr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РАЗОМ власних доході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83 778,4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88 432,4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+4 654,0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105,6</w:t>
            </w:r>
          </w:p>
        </w:tc>
      </w:tr>
    </w:tbl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Видатки загального фонду міського бюджету за  11 місяців 2018 року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інансовано в сумі 206 716,9 тис.грн., що становить 93,7 % до уточнених планових призначень на січень-листопад.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іоритетні видатки міського бюджету - виплата заробітної плати, допомог, оплата комунальних послуг та енергоносіїв, придбання медикаментів та продуктів харчування.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фінансування видатків спеціального фонду спрямовано 20 363,1 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рн., в тому числі проведення капітальних видатків – 16 082,9 тис.грн.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</w:t>
      </w:r>
    </w:p>
    <w:p w:rsidR="00116A6F" w:rsidRPr="00A07F41" w:rsidRDefault="00116A6F" w:rsidP="0011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саме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116A6F" w:rsidRPr="00A07F41" w:rsidRDefault="00116A6F" w:rsidP="00116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своєчасно виплачено заробітну плату;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простроченої кредиторської заборгованості із зазначених виплат  не допущено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6A6F" w:rsidRPr="00A07F41" w:rsidRDefault="00116A6F" w:rsidP="00116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100-відсотково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інансовано енергоносії та комунальні послуги, які споживаються бюджетними установами;</w:t>
      </w:r>
    </w:p>
    <w:p w:rsidR="00116A6F" w:rsidRPr="00A07F41" w:rsidRDefault="00116A6F" w:rsidP="00116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інансовано інші видатки, необхідні для виконання бюджетними установами своїх функцій та пріоритетні програми.</w:t>
      </w:r>
    </w:p>
    <w:p w:rsidR="00116A6F" w:rsidRPr="00A07F41" w:rsidRDefault="00116A6F" w:rsidP="00116A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Прогноз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іського бюджету на 2019 та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роки.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Метою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бюджетного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прогнозування на наступні за плановим два бюджетні періоди є забезпечення прозорості, передбачуваності та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ідовності бюджетної політики шляхом створення дієвого механізму управління бюджетним процесом, як складової системи управління місцевими фінансами.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плануванні бюджету Дунаєвецької міської громади врахована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іоритетність державної бюджетної політики в частині регулювання міжбюджетних відносин щодо забезпечення самостійності місцевих бюджетів, зміцнення їх фінансової спроможності.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середньострокову перспективу основними завданнями міського бюджету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є:</w:t>
      </w:r>
      <w:proofErr w:type="gramEnd"/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забезпечення зростання доходної частини бюджету за рахунок активізації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ідприємницького потенціалу, зниження частки тіньової економіки;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покращення добробуту та якості життя населення шляхом виконання державних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іальних стандартів та гарантій і як наслідок - збільшення фонду оплати праці працівників підприємств, установ, організацій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ідвищення ефективності управління бюджетними коштами шляхом оптимізації бюджетних програм.</w:t>
      </w:r>
    </w:p>
    <w:p w:rsidR="00116A6F" w:rsidRPr="00A07F41" w:rsidRDefault="00116A6F" w:rsidP="00116A6F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тис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рн.</w:t>
      </w:r>
    </w:p>
    <w:tbl>
      <w:tblPr>
        <w:tblW w:w="0" w:type="auto"/>
        <w:tblCellSpacing w:w="0" w:type="dxa"/>
        <w:tblInd w:w="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943"/>
        <w:gridCol w:w="2409"/>
      </w:tblGrid>
      <w:tr w:rsidR="00116A6F" w:rsidRPr="00A07F41" w:rsidTr="006D2D52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2020 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</w:p>
        </w:tc>
      </w:tr>
      <w:tr w:rsidR="00116A6F" w:rsidRPr="00A07F41" w:rsidTr="006D2D52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Доходи загального фонду</w:t>
            </w:r>
          </w:p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117 670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128 620</w:t>
            </w:r>
          </w:p>
        </w:tc>
      </w:tr>
      <w:tr w:rsidR="00116A6F" w:rsidRPr="00A07F41" w:rsidTr="006D2D52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податок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доходи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фізичних осіб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65 659,0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68 504,0</w:t>
            </w:r>
          </w:p>
        </w:tc>
      </w:tr>
      <w:tr w:rsidR="00116A6F" w:rsidRPr="00A07F41" w:rsidTr="006D2D52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плата за землю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12 842,0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13 150,0</w:t>
            </w:r>
          </w:p>
        </w:tc>
      </w:tr>
      <w:tr w:rsidR="00116A6F" w:rsidRPr="00A07F41" w:rsidTr="006D2D52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плата за майно, відмінне від земельної ділянки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1 300,0</w:t>
            </w:r>
          </w:p>
        </w:tc>
      </w:tr>
      <w:tr w:rsidR="00116A6F" w:rsidRPr="00A07F41" w:rsidTr="006D2D52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єдиний податок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20 900,0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A6F" w:rsidRPr="00A07F41" w:rsidRDefault="00116A6F" w:rsidP="006D2D52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22 000,0</w:t>
            </w:r>
          </w:p>
        </w:tc>
      </w:tr>
    </w:tbl>
    <w:p w:rsidR="00116A6F" w:rsidRPr="00A07F41" w:rsidRDefault="00116A6F" w:rsidP="00116A6F">
      <w:pPr>
        <w:keepNext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Збільшення надходжень з податку на доходи фізичних осіб планується в зв’язку із прогнозованим відповідно до сценарію 1 «Основних макропоказників економічного і соціального розвитку України на 2019-2021 роки» ростом фонду оплати праці найманих працівників і грошового забезпечення військовослужбовців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році порівняно з 2019 роком на 12,9%, а в 2021 році порівняно з 2020 роком – на 11,9 відсотка.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Плати за землю в 2020-2021 роках можливо отримати більше в випадку  застосування коефіцієнта індексації грошової оцінки земельних ділянок.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надходжень плати за майно, відмінне від земельної ділянки, розрахований з очікуваним  розширенням бази оподаткування та збільшенням мінімальної заробітної плати. 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 прогнозу по єдиному податку планується в зв’язку із збільшенням соціальних гарантій, зокрема росту мінімальної заробітної плати та прожиткового мінімуму на початок  року.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інших податках  та зборах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 надходжень у 2020-2021 роках планується незначний у зв’язку із незмінністю податкової бази.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Заходи, що будуть вживатися із розширення бази оподаткування та залучення додаткових надходжень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бюджету: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ідвищення рівня середньомісячної заробітної плати у високорентабельних галузях економіки;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ліквідація випадків виплати заробітної плати працівникам нижче законодавчо встановленого мінімуму на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ідприємствах, установах та організаціях;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    посилення інформаційно-роз’яснювальної роботи серед населення з питань праці;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детінізація трудових відносин, зокрема через укладення трудових договорів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іж роботодавцями і найманими працівниками;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  проведення роботи з суб’єктами господарювання, які мають значні валові доходи, але офіційно виплачують заробітну плату меншу або на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 мінімальної заробітної плати;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    скорочення податкового боргу зі сплати податків, зборів і платежі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16A6F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16A6F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16A6F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16A6F" w:rsidRPr="00A07F41" w:rsidRDefault="00116A6F" w:rsidP="00116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Прогнозні показники видатків загального фонду міс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ького бюджету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2019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роки</w:t>
      </w:r>
    </w:p>
    <w:p w:rsidR="00116A6F" w:rsidRPr="00A07F41" w:rsidRDefault="00116A6F" w:rsidP="00116A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млн. грн.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367"/>
        <w:gridCol w:w="2199"/>
        <w:gridCol w:w="2035"/>
      </w:tblGrid>
      <w:tr w:rsidR="00116A6F" w:rsidRPr="00A07F41" w:rsidTr="006D2D52">
        <w:trPr>
          <w:trHeight w:val="512"/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2021 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</w:p>
        </w:tc>
      </w:tr>
      <w:tr w:rsidR="00116A6F" w:rsidRPr="00A07F41" w:rsidTr="006D2D5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Загальний обсяг видатків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</w:tr>
      <w:tr w:rsidR="00116A6F" w:rsidRPr="00A07F41" w:rsidTr="006D2D5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              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тому числі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16A6F" w:rsidRPr="00A07F41" w:rsidTr="006D2D5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173,3</w:t>
            </w:r>
          </w:p>
        </w:tc>
      </w:tr>
      <w:tr w:rsidR="00116A6F" w:rsidRPr="00A07F41" w:rsidTr="006D2D5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іальний захист та соціальне забезпечення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116A6F" w:rsidRPr="00A07F41" w:rsidTr="006D2D5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і мистецтво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116A6F" w:rsidRPr="00A07F41" w:rsidTr="006D2D5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Фізична культура і спорт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A6F" w:rsidRPr="00A07F41" w:rsidRDefault="00116A6F" w:rsidP="006D2D52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</w:tr>
    </w:tbl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116A6F" w:rsidRPr="00A07F41" w:rsidRDefault="00116A6F" w:rsidP="00116A6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видатків загального фонду бюджету Дунаєвецької міської ОТГ на наступні за плановим два бюджетні періоди здійснено на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ідставі діючих положень бюджетно-податкового законодавства та відповідно до макропоказників економічного і соціального розвитку України на 2019-2021 роки, схвалених постановою КМУ від 11.07.2018р. №546: ростом мінімальної зарплати в </w:t>
      </w:r>
      <w:proofErr w:type="gramStart"/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 році порівняно з 2019 роком на 5,6% та в 2021 році порівняно з 2020 роком – на 5%, ростом розміру посадового окладу працівника 1 тарифного розряду ЄТС -  відповідно на 9,4% та 7,6%, коефіцієнтом росту цін на енергоносії – відповідно 1,082 та 1,059.</w:t>
      </w:r>
      <w:proofErr w:type="gramEnd"/>
    </w:p>
    <w:p w:rsidR="00116A6F" w:rsidRPr="00A07F41" w:rsidRDefault="00116A6F" w:rsidP="00116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16A6F" w:rsidRPr="00A07F41" w:rsidRDefault="00116A6F" w:rsidP="0011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фінуправління                                                                     Т.Абзалова</w:t>
      </w:r>
    </w:p>
    <w:p w:rsidR="00116A6F" w:rsidRPr="00A07F41" w:rsidRDefault="00116A6F" w:rsidP="00116A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7E57" w:rsidRPr="00A6402F" w:rsidRDefault="00777E57" w:rsidP="00A640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A6402F" w:rsidSect="0037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D4050"/>
    <w:multiLevelType w:val="hybridMultilevel"/>
    <w:tmpl w:val="FB0A6E72"/>
    <w:lvl w:ilvl="0" w:tplc="6D04BBFA">
      <w:numFmt w:val="bullet"/>
      <w:lvlText w:val="-"/>
      <w:lvlJc w:val="left"/>
      <w:pPr>
        <w:ind w:left="540" w:hanging="360"/>
      </w:pPr>
      <w:rPr>
        <w:rFonts w:ascii="Bookman Old Style" w:eastAsia="Calibri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30229AA"/>
    <w:multiLevelType w:val="multilevel"/>
    <w:tmpl w:val="54D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A6DE4"/>
    <w:multiLevelType w:val="multilevel"/>
    <w:tmpl w:val="287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6310B"/>
    <w:multiLevelType w:val="multilevel"/>
    <w:tmpl w:val="483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36ED5"/>
    <w:multiLevelType w:val="multilevel"/>
    <w:tmpl w:val="439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66D9D"/>
    <w:multiLevelType w:val="hybridMultilevel"/>
    <w:tmpl w:val="FA648442"/>
    <w:lvl w:ilvl="0" w:tplc="EC227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6EB9"/>
    <w:rsid w:val="00116A6F"/>
    <w:rsid w:val="00374AE4"/>
    <w:rsid w:val="00596EB9"/>
    <w:rsid w:val="007050DA"/>
    <w:rsid w:val="00777E57"/>
    <w:rsid w:val="00A6402F"/>
    <w:rsid w:val="00C0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F"/>
  </w:style>
  <w:style w:type="paragraph" w:styleId="1">
    <w:name w:val="heading 1"/>
    <w:basedOn w:val="a"/>
    <w:next w:val="a"/>
    <w:link w:val="10"/>
    <w:uiPriority w:val="9"/>
    <w:qFormat/>
    <w:rsid w:val="00116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402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A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02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6402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6402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1">
    <w:name w:val="Без интервала1"/>
    <w:rsid w:val="00A640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ocdata">
    <w:name w:val="docdata"/>
    <w:aliases w:val="docy,v5,33963,baiaagaaboqcaaaddxuaaauveqaaaaaaaaaaaaaaaaaaaaaaaaaaaaaaaaaaaaaaaaaaaaaaaaaaaaaaaaaaaaaaaaaaaaaaaaaaaaaaaaaaaaaaaaaaaaaaaaaaaaaaaaaaaaaaaaaaaaaaaaaaaaaaaaaaaaaaaaaaaaaaaaaaaaaaaaaaaaaaaaaaaaaaaaaaaaaaaaaaaaaaaaaaaaaaaaaaaaaaaaaaaaa"/>
    <w:basedOn w:val="a"/>
    <w:rsid w:val="00A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16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6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16A6F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2"/>
    <w:rsid w:val="00116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116A6F"/>
  </w:style>
  <w:style w:type="paragraph" w:styleId="2">
    <w:name w:val="Body Text Indent 2"/>
    <w:aliases w:val=" Знак Знак"/>
    <w:basedOn w:val="a"/>
    <w:link w:val="20"/>
    <w:rsid w:val="00116A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 Знак Знак"/>
    <w:basedOn w:val="a0"/>
    <w:link w:val="2"/>
    <w:rsid w:val="00116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6"/>
    <w:rsid w:val="00116A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Стиль"/>
    <w:rsid w:val="00116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9">
    <w:name w:val="Emphasis"/>
    <w:qFormat/>
    <w:rsid w:val="00116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F"/>
  </w:style>
  <w:style w:type="paragraph" w:styleId="1">
    <w:name w:val="heading 1"/>
    <w:basedOn w:val="a"/>
    <w:next w:val="a"/>
    <w:link w:val="10"/>
    <w:uiPriority w:val="9"/>
    <w:qFormat/>
    <w:rsid w:val="00116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402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A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02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6402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6402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1">
    <w:name w:val="Без интервала1"/>
    <w:rsid w:val="00A640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ocdata">
    <w:name w:val="docdata"/>
    <w:aliases w:val="docy,v5,33963,baiaagaaboqcaaaddxuaaauveqaaaaaaaaaaaaaaaaaaaaaaaaaaaaaaaaaaaaaaaaaaaaaaaaaaaaaaaaaaaaaaaaaaaaaaaaaaaaaaaaaaaaaaaaaaaaaaaaaaaaaaaaaaaaaaaaaaaaaaaaaaaaaaaaaaaaaaaaaaaaaaaaaaaaaaaaaaaaaaaaaaaaaaaaaaaaaaaaaaaaaaaaaaaaaaaaaaaaaaaaaaaaa"/>
    <w:basedOn w:val="a"/>
    <w:rsid w:val="00A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16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6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16A6F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2"/>
    <w:rsid w:val="00116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116A6F"/>
  </w:style>
  <w:style w:type="paragraph" w:styleId="2">
    <w:name w:val="Body Text Indent 2"/>
    <w:aliases w:val=" Знак Знак"/>
    <w:basedOn w:val="a"/>
    <w:link w:val="20"/>
    <w:rsid w:val="00116A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 Знак Знак"/>
    <w:basedOn w:val="a0"/>
    <w:link w:val="2"/>
    <w:rsid w:val="00116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6"/>
    <w:rsid w:val="00116A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Стиль"/>
    <w:rsid w:val="00116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9">
    <w:name w:val="Emphasis"/>
    <w:qFormat/>
    <w:rsid w:val="00116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6661</Words>
  <Characters>37969</Characters>
  <Application>Microsoft Office Word</Application>
  <DocSecurity>0</DocSecurity>
  <Lines>316</Lines>
  <Paragraphs>89</Paragraphs>
  <ScaleCrop>false</ScaleCrop>
  <Company/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5</cp:revision>
  <dcterms:created xsi:type="dcterms:W3CDTF">2018-12-26T09:41:00Z</dcterms:created>
  <dcterms:modified xsi:type="dcterms:W3CDTF">2019-02-07T13:12:00Z</dcterms:modified>
</cp:coreProperties>
</file>