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0" w:rsidRDefault="00C92D30" w:rsidP="00C92D30">
      <w:pPr>
        <w:rPr>
          <w:sz w:val="24"/>
        </w:rPr>
      </w:pPr>
    </w:p>
    <w:p w:rsidR="00C92D30" w:rsidRDefault="00C92D30" w:rsidP="00C92D30">
      <w:pPr>
        <w:jc w:val="center"/>
        <w:rPr>
          <w:sz w:val="24"/>
        </w:rPr>
      </w:pPr>
      <w:r>
        <w:rPr>
          <w:b/>
          <w:noProof/>
          <w:color w:val="000000"/>
          <w:sz w:val="24"/>
        </w:rPr>
        <w:drawing>
          <wp:inline distT="0" distB="0" distL="0" distR="0" wp14:anchorId="02684EC5" wp14:editId="76A27E8E">
            <wp:extent cx="334010" cy="548640"/>
            <wp:effectExtent l="0" t="0" r="889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30" w:rsidRDefault="00C92D30" w:rsidP="00C92D30">
      <w:pPr>
        <w:jc w:val="both"/>
        <w:rPr>
          <w:sz w:val="24"/>
        </w:rPr>
      </w:pPr>
    </w:p>
    <w:p w:rsidR="00C92D30" w:rsidRPr="006578E9" w:rsidRDefault="00C92D30" w:rsidP="00C92D30">
      <w:pPr>
        <w:jc w:val="center"/>
        <w:rPr>
          <w:b/>
          <w:color w:val="000000"/>
          <w:sz w:val="24"/>
        </w:rPr>
      </w:pPr>
      <w:r w:rsidRPr="006578E9">
        <w:rPr>
          <w:b/>
          <w:color w:val="000000"/>
          <w:sz w:val="24"/>
        </w:rPr>
        <w:t>ДУНАЄВЕЦЬКА МІСЬКА РАДА</w:t>
      </w:r>
    </w:p>
    <w:p w:rsidR="00C92D30" w:rsidRPr="006578E9" w:rsidRDefault="00C92D30" w:rsidP="00C92D3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2222BD">
        <w:rPr>
          <w:color w:val="000000"/>
          <w:sz w:val="24"/>
        </w:rPr>
        <w:t>VII</w:t>
      </w:r>
      <w:r w:rsidRPr="006578E9">
        <w:rPr>
          <w:color w:val="000000"/>
          <w:sz w:val="24"/>
        </w:rPr>
        <w:t>І скликання</w:t>
      </w:r>
    </w:p>
    <w:p w:rsidR="00C92D30" w:rsidRDefault="00C92D30" w:rsidP="00C92D30">
      <w:pPr>
        <w:tabs>
          <w:tab w:val="left" w:pos="3193"/>
          <w:tab w:val="left" w:pos="3540"/>
          <w:tab w:val="center" w:pos="5128"/>
          <w:tab w:val="center" w:pos="5269"/>
        </w:tabs>
        <w:ind w:firstLine="567"/>
        <w:rPr>
          <w:bCs/>
          <w:color w:val="000000"/>
          <w:sz w:val="24"/>
        </w:rPr>
      </w:pPr>
    </w:p>
    <w:p w:rsidR="00C92D30" w:rsidRDefault="00C92D30" w:rsidP="00C92D30">
      <w:pPr>
        <w:tabs>
          <w:tab w:val="left" w:pos="3193"/>
          <w:tab w:val="left" w:pos="3540"/>
          <w:tab w:val="center" w:pos="5128"/>
          <w:tab w:val="center" w:pos="5269"/>
        </w:tabs>
        <w:ind w:firstLine="567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</w:t>
      </w:r>
      <w:r w:rsidRPr="006578E9">
        <w:rPr>
          <w:bCs/>
          <w:color w:val="000000"/>
          <w:sz w:val="24"/>
        </w:rPr>
        <w:tab/>
        <w:t xml:space="preserve">   </w:t>
      </w:r>
      <w:r>
        <w:rPr>
          <w:bCs/>
          <w:color w:val="000000"/>
          <w:sz w:val="24"/>
        </w:rPr>
        <w:t xml:space="preserve"> </w:t>
      </w:r>
      <w:r w:rsidRPr="006578E9">
        <w:rPr>
          <w:bCs/>
          <w:color w:val="000000"/>
          <w:sz w:val="24"/>
        </w:rPr>
        <w:t xml:space="preserve">     </w:t>
      </w:r>
      <w:r>
        <w:rPr>
          <w:bCs/>
          <w:color w:val="000000"/>
          <w:sz w:val="24"/>
        </w:rPr>
        <w:t xml:space="preserve">       </w:t>
      </w:r>
      <w:r w:rsidRPr="006578E9">
        <w:rPr>
          <w:bCs/>
          <w:color w:val="000000"/>
          <w:sz w:val="24"/>
        </w:rPr>
        <w:t xml:space="preserve">  РІШЕННЯ</w:t>
      </w:r>
    </w:p>
    <w:p w:rsidR="00C92D30" w:rsidRPr="00394AF0" w:rsidRDefault="00C92D30" w:rsidP="00C92D30">
      <w:pPr>
        <w:tabs>
          <w:tab w:val="left" w:pos="3193"/>
          <w:tab w:val="left" w:pos="3540"/>
          <w:tab w:val="center" w:pos="5128"/>
          <w:tab w:val="center" w:pos="5269"/>
        </w:tabs>
        <w:ind w:firstLine="567"/>
        <w:rPr>
          <w:color w:val="000000"/>
          <w:sz w:val="20"/>
          <w:szCs w:val="20"/>
        </w:rPr>
      </w:pPr>
    </w:p>
    <w:p w:rsidR="00C92D30" w:rsidRPr="002222BD" w:rsidRDefault="00C92D30" w:rsidP="00C92D30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ind w:firstLine="567"/>
        <w:rPr>
          <w:b/>
          <w:bCs/>
          <w:color w:val="000000"/>
          <w:sz w:val="24"/>
        </w:rPr>
      </w:pPr>
      <w:r>
        <w:rPr>
          <w:b/>
          <w:color w:val="000000"/>
          <w:sz w:val="24"/>
        </w:rPr>
        <w:tab/>
        <w:t xml:space="preserve">                    </w:t>
      </w:r>
      <w:r w:rsidRPr="002222BD">
        <w:rPr>
          <w:b/>
          <w:color w:val="000000"/>
          <w:sz w:val="24"/>
        </w:rPr>
        <w:t xml:space="preserve">Тридцять </w:t>
      </w:r>
      <w:r>
        <w:rPr>
          <w:b/>
          <w:color w:val="000000"/>
          <w:sz w:val="24"/>
        </w:rPr>
        <w:t xml:space="preserve">четвертої </w:t>
      </w:r>
      <w:r w:rsidRPr="002222BD">
        <w:rPr>
          <w:b/>
          <w:color w:val="000000"/>
          <w:sz w:val="24"/>
        </w:rPr>
        <w:t>сесії</w:t>
      </w:r>
    </w:p>
    <w:p w:rsidR="00C92D30" w:rsidRPr="00394AF0" w:rsidRDefault="00C92D30" w:rsidP="00C92D30">
      <w:pPr>
        <w:jc w:val="both"/>
        <w:rPr>
          <w:color w:val="000000"/>
          <w:sz w:val="20"/>
          <w:szCs w:val="20"/>
        </w:rPr>
      </w:pPr>
    </w:p>
    <w:p w:rsidR="00C92D30" w:rsidRDefault="00C92D30" w:rsidP="00C92D30">
      <w:pPr>
        <w:ind w:right="-1"/>
        <w:jc w:val="both"/>
        <w:rPr>
          <w:color w:val="000000"/>
          <w:sz w:val="24"/>
        </w:rPr>
      </w:pPr>
      <w:r>
        <w:rPr>
          <w:color w:val="000000"/>
          <w:sz w:val="24"/>
        </w:rPr>
        <w:t>26</w:t>
      </w:r>
      <w:r w:rsidRPr="002222BD">
        <w:rPr>
          <w:color w:val="000000"/>
          <w:sz w:val="24"/>
        </w:rPr>
        <w:t xml:space="preserve"> квітня 2022  р.       </w:t>
      </w:r>
      <w:r>
        <w:rPr>
          <w:color w:val="000000"/>
          <w:sz w:val="24"/>
        </w:rPr>
        <w:t xml:space="preserve"> </w:t>
      </w:r>
      <w:r w:rsidRPr="002222BD">
        <w:rPr>
          <w:color w:val="000000"/>
          <w:sz w:val="24"/>
        </w:rPr>
        <w:t xml:space="preserve">                            </w:t>
      </w:r>
      <w:r>
        <w:rPr>
          <w:color w:val="000000"/>
          <w:sz w:val="24"/>
        </w:rPr>
        <w:t xml:space="preserve"> </w:t>
      </w:r>
      <w:r w:rsidRPr="002222BD">
        <w:rPr>
          <w:color w:val="000000"/>
          <w:sz w:val="24"/>
        </w:rPr>
        <w:t xml:space="preserve">    Дунаївці                                          № </w:t>
      </w:r>
      <w:r>
        <w:rPr>
          <w:color w:val="000000"/>
          <w:sz w:val="24"/>
        </w:rPr>
        <w:t>9-</w:t>
      </w:r>
      <w:r w:rsidRPr="002222BD">
        <w:rPr>
          <w:color w:val="000000"/>
          <w:sz w:val="24"/>
        </w:rPr>
        <w:t>3</w:t>
      </w:r>
      <w:r>
        <w:rPr>
          <w:color w:val="000000"/>
          <w:sz w:val="24"/>
        </w:rPr>
        <w:t>4</w:t>
      </w:r>
      <w:r w:rsidRPr="002222BD">
        <w:rPr>
          <w:color w:val="000000"/>
          <w:sz w:val="24"/>
        </w:rPr>
        <w:t>/20</w:t>
      </w:r>
      <w:r>
        <w:rPr>
          <w:color w:val="000000"/>
          <w:sz w:val="24"/>
        </w:rPr>
        <w:t>2</w:t>
      </w:r>
      <w:r w:rsidRPr="002222BD">
        <w:rPr>
          <w:color w:val="000000"/>
          <w:sz w:val="24"/>
        </w:rPr>
        <w:t>2</w:t>
      </w:r>
    </w:p>
    <w:p w:rsidR="00C92D30" w:rsidRDefault="00C92D30" w:rsidP="00C92D30">
      <w:pPr>
        <w:ind w:right="-1"/>
        <w:jc w:val="both"/>
        <w:rPr>
          <w:color w:val="000000"/>
          <w:sz w:val="24"/>
        </w:rPr>
      </w:pPr>
    </w:p>
    <w:p w:rsidR="00C92D30" w:rsidRDefault="00C92D30" w:rsidP="00C92D30">
      <w:pPr>
        <w:ind w:right="-1"/>
        <w:jc w:val="both"/>
        <w:rPr>
          <w:color w:val="000000"/>
          <w:sz w:val="24"/>
        </w:rPr>
      </w:pPr>
      <w:r w:rsidRPr="00B639A1">
        <w:rPr>
          <w:color w:val="000000"/>
          <w:sz w:val="24"/>
        </w:rPr>
        <w:t xml:space="preserve">Про внесення змін до рішення сімдесят другої сесії Дунаєвецької міської ради 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№5-15/2021 «Про встановлення місцевих податків і зборів на території Дунаєвецької міської ради з 01.01.2022  року» </w:t>
      </w:r>
    </w:p>
    <w:p w:rsidR="00C92D30" w:rsidRPr="00B639A1" w:rsidRDefault="00C92D30" w:rsidP="00C92D30">
      <w:pPr>
        <w:ind w:right="-1" w:firstLine="567"/>
        <w:jc w:val="both"/>
        <w:rPr>
          <w:color w:val="000000"/>
          <w:sz w:val="24"/>
        </w:rPr>
      </w:pPr>
    </w:p>
    <w:p w:rsidR="00C92D30" w:rsidRPr="00B639A1" w:rsidRDefault="00C92D30" w:rsidP="00C92D30">
      <w:pPr>
        <w:widowControl w:val="0"/>
        <w:tabs>
          <w:tab w:val="left" w:pos="851"/>
        </w:tabs>
        <w:ind w:firstLine="567"/>
        <w:jc w:val="both"/>
        <w:rPr>
          <w:sz w:val="24"/>
        </w:rPr>
      </w:pPr>
      <w:r w:rsidRPr="00B639A1">
        <w:rPr>
          <w:color w:val="000000"/>
          <w:sz w:val="24"/>
        </w:rPr>
        <w:t xml:space="preserve">Керуючись ст. 143  Конституції України, п. 24 ст. 26, ст. 59, 69 Закону України «Про місцеве самоврядування в Україні», ст. 8, 10, пп. 12.3.8 п. 12.3 ст. 12, 212-222, 265-289, 295  Податкового кодексу України, з метою зміцнення матеріальної і фінансової бази, сприяння соціально-економічного розвитку Дунаєвецької територіальної громади та  поповнення дохідної частини місцевого бюджету,  </w:t>
      </w:r>
      <w:r w:rsidRPr="00B639A1">
        <w:rPr>
          <w:sz w:val="24"/>
        </w:rPr>
        <w:t>враховуючи пропозиції спільного засідання постійних комісій міської ради від</w:t>
      </w:r>
      <w:r>
        <w:rPr>
          <w:sz w:val="24"/>
        </w:rPr>
        <w:t xml:space="preserve"> 26</w:t>
      </w:r>
      <w:r w:rsidRPr="00B639A1">
        <w:rPr>
          <w:sz w:val="24"/>
        </w:rPr>
        <w:t>.</w:t>
      </w:r>
      <w:r>
        <w:rPr>
          <w:sz w:val="24"/>
        </w:rPr>
        <w:t>04</w:t>
      </w:r>
      <w:r w:rsidRPr="00B639A1">
        <w:rPr>
          <w:sz w:val="24"/>
        </w:rPr>
        <w:t>.2022 р.,  міська рада</w:t>
      </w:r>
    </w:p>
    <w:p w:rsidR="00C92D30" w:rsidRDefault="00C92D30" w:rsidP="00C92D30">
      <w:pPr>
        <w:ind w:right="-1"/>
        <w:jc w:val="center"/>
        <w:rPr>
          <w:b/>
          <w:bCs/>
          <w:color w:val="000000"/>
          <w:sz w:val="24"/>
        </w:rPr>
      </w:pPr>
    </w:p>
    <w:p w:rsidR="00C92D30" w:rsidRPr="00B639A1" w:rsidRDefault="00C92D30" w:rsidP="00C92D30">
      <w:pPr>
        <w:ind w:right="-1"/>
        <w:jc w:val="center"/>
        <w:rPr>
          <w:b/>
          <w:bCs/>
          <w:color w:val="000000"/>
          <w:sz w:val="24"/>
        </w:rPr>
      </w:pPr>
      <w:r w:rsidRPr="00B639A1">
        <w:rPr>
          <w:b/>
          <w:bCs/>
          <w:color w:val="000000"/>
          <w:sz w:val="24"/>
        </w:rPr>
        <w:t>ВИРІШИЛА:</w:t>
      </w:r>
    </w:p>
    <w:p w:rsidR="00C92D30" w:rsidRPr="00B639A1" w:rsidRDefault="00C92D30" w:rsidP="00C92D30">
      <w:pPr>
        <w:ind w:right="-1"/>
        <w:jc w:val="center"/>
        <w:rPr>
          <w:b/>
          <w:bCs/>
          <w:color w:val="000000"/>
          <w:sz w:val="24"/>
        </w:rPr>
      </w:pPr>
    </w:p>
    <w:p w:rsidR="00C92D30" w:rsidRPr="00B639A1" w:rsidRDefault="00C92D30" w:rsidP="00C92D30">
      <w:pPr>
        <w:ind w:firstLine="567"/>
        <w:jc w:val="both"/>
        <w:rPr>
          <w:sz w:val="24"/>
        </w:rPr>
      </w:pPr>
      <w:r w:rsidRPr="00B639A1">
        <w:rPr>
          <w:sz w:val="24"/>
        </w:rPr>
        <w:t xml:space="preserve">1. Викласти додаток 1.2 </w:t>
      </w:r>
      <w:r>
        <w:rPr>
          <w:sz w:val="24"/>
        </w:rPr>
        <w:t xml:space="preserve">до </w:t>
      </w:r>
      <w:r w:rsidRPr="00B639A1">
        <w:rPr>
          <w:sz w:val="24"/>
        </w:rPr>
        <w:t>рішення сімдесят другої сесії Дунаєвецької міської ради</w:t>
      </w:r>
      <w:r>
        <w:rPr>
          <w:sz w:val="24"/>
        </w:rPr>
        <w:t xml:space="preserve">             </w:t>
      </w:r>
      <w:r w:rsidRPr="00B639A1">
        <w:rPr>
          <w:sz w:val="24"/>
        </w:rPr>
        <w:t xml:space="preserve"> VII скликання від 24 червня 2020 року  №4-72/2020 «Про встановлення місцевих податків і зборів на території Дунаєвецької міської ради з 01.01.2021 року» у новій редакції (додається).</w:t>
      </w:r>
    </w:p>
    <w:p w:rsidR="00C92D30" w:rsidRPr="00B639A1" w:rsidRDefault="00C92D30" w:rsidP="00C92D30">
      <w:pPr>
        <w:ind w:firstLine="567"/>
        <w:jc w:val="both"/>
        <w:rPr>
          <w:color w:val="000000"/>
          <w:sz w:val="24"/>
        </w:rPr>
      </w:pPr>
      <w:r w:rsidRPr="00B639A1">
        <w:rPr>
          <w:sz w:val="24"/>
        </w:rPr>
        <w:t xml:space="preserve">2. Викласти додаток 1.2 </w:t>
      </w:r>
      <w:r>
        <w:rPr>
          <w:sz w:val="24"/>
        </w:rPr>
        <w:t xml:space="preserve">до </w:t>
      </w:r>
      <w:r w:rsidRPr="00B639A1">
        <w:rPr>
          <w:sz w:val="24"/>
        </w:rPr>
        <w:t xml:space="preserve">рішення </w:t>
      </w:r>
      <w:r w:rsidRPr="00B639A1">
        <w:rPr>
          <w:color w:val="000000"/>
          <w:sz w:val="24"/>
        </w:rPr>
        <w:t xml:space="preserve">п’ятнадцятої сесії Дунаєвецької міської ради </w:t>
      </w:r>
      <w:r>
        <w:rPr>
          <w:color w:val="000000"/>
          <w:sz w:val="24"/>
        </w:rPr>
        <w:t xml:space="preserve">                 </w:t>
      </w:r>
      <w:r w:rsidRPr="00B639A1">
        <w:rPr>
          <w:color w:val="000000"/>
          <w:sz w:val="24"/>
        </w:rPr>
        <w:t>VIІI скликання від 13 липня 2021 року №5-15/2021 «Про встановлення місцевих податків і зборів на території Дунаєвецької міської ради з 01.01.2022  року» у новій редакції (додається).</w:t>
      </w:r>
    </w:p>
    <w:p w:rsidR="00C92D30" w:rsidRPr="005316BF" w:rsidRDefault="00C92D30" w:rsidP="00C92D30">
      <w:pPr>
        <w:ind w:firstLine="567"/>
        <w:jc w:val="both"/>
        <w:rPr>
          <w:color w:val="000000"/>
          <w:sz w:val="24"/>
        </w:rPr>
      </w:pPr>
      <w:r w:rsidRPr="005316BF">
        <w:rPr>
          <w:color w:val="000000"/>
          <w:sz w:val="24"/>
        </w:rPr>
        <w:t>3. Оприлюднити рішення в засобах масової інформації, на офіційному сайті Дунаєвецької міської ради та довести до Дунаєвецької ДПІ ГУ ДПС у Хмельницькій області.</w:t>
      </w:r>
    </w:p>
    <w:p w:rsidR="00C92D30" w:rsidRPr="00B639A1" w:rsidRDefault="00C92D30" w:rsidP="00C92D30">
      <w:pPr>
        <w:ind w:firstLine="567"/>
        <w:jc w:val="both"/>
        <w:rPr>
          <w:color w:val="000000"/>
          <w:sz w:val="24"/>
        </w:rPr>
      </w:pPr>
      <w:r w:rsidRPr="005316BF">
        <w:rPr>
          <w:color w:val="000000"/>
          <w:sz w:val="24"/>
        </w:rPr>
        <w:t xml:space="preserve">4. Контроль за виконанням цього рішення покласти на </w:t>
      </w:r>
      <w:r>
        <w:rPr>
          <w:color w:val="000000"/>
          <w:sz w:val="24"/>
        </w:rPr>
        <w:t xml:space="preserve"> </w:t>
      </w:r>
      <w:r w:rsidRPr="005316BF">
        <w:rPr>
          <w:sz w:val="24"/>
        </w:rPr>
        <w:t>заступника міського голови з питань діяльності виконавчих органів ради С. Яценка,</w:t>
      </w:r>
      <w:r>
        <w:rPr>
          <w:sz w:val="24"/>
        </w:rPr>
        <w:t xml:space="preserve"> </w:t>
      </w:r>
      <w:r w:rsidRPr="00B639A1">
        <w:rPr>
          <w:color w:val="000000"/>
          <w:sz w:val="24"/>
        </w:rPr>
        <w:t>відділ економіки, інвестицій, комунального майна та агропромислового розвитку апарату виконавчого комітету  міської  ради</w:t>
      </w:r>
      <w:r>
        <w:rPr>
          <w:color w:val="000000"/>
          <w:sz w:val="24"/>
        </w:rPr>
        <w:t xml:space="preserve"> </w:t>
      </w:r>
      <w:r w:rsidRPr="00B639A1">
        <w:rPr>
          <w:color w:val="000000"/>
          <w:sz w:val="24"/>
        </w:rPr>
        <w:t xml:space="preserve">(І. </w:t>
      </w:r>
      <w:proofErr w:type="spellStart"/>
      <w:r w:rsidRPr="00B639A1">
        <w:rPr>
          <w:color w:val="000000"/>
          <w:sz w:val="24"/>
        </w:rPr>
        <w:t>Кадюк</w:t>
      </w:r>
      <w:proofErr w:type="spellEnd"/>
      <w:r w:rsidRPr="00B639A1">
        <w:rPr>
          <w:color w:val="000000"/>
          <w:sz w:val="24"/>
        </w:rPr>
        <w:t xml:space="preserve">) та постійну комісію з питань 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r>
        <w:rPr>
          <w:color w:val="000000"/>
          <w:sz w:val="24"/>
        </w:rPr>
        <w:t xml:space="preserve"> </w:t>
      </w:r>
      <w:r w:rsidRPr="00B639A1">
        <w:rPr>
          <w:color w:val="000000"/>
          <w:sz w:val="24"/>
        </w:rPr>
        <w:t xml:space="preserve">Ю. </w:t>
      </w:r>
      <w:proofErr w:type="spellStart"/>
      <w:r w:rsidRPr="00B639A1">
        <w:rPr>
          <w:color w:val="000000"/>
          <w:sz w:val="24"/>
        </w:rPr>
        <w:t>Чекман</w:t>
      </w:r>
      <w:proofErr w:type="spellEnd"/>
      <w:r w:rsidRPr="00B639A1">
        <w:rPr>
          <w:color w:val="000000"/>
          <w:sz w:val="24"/>
        </w:rPr>
        <w:t>).</w:t>
      </w:r>
    </w:p>
    <w:p w:rsidR="00C92D30" w:rsidRPr="00B639A1" w:rsidRDefault="00C92D30" w:rsidP="00C92D30">
      <w:pPr>
        <w:ind w:firstLine="283"/>
        <w:jc w:val="both"/>
        <w:rPr>
          <w:color w:val="000000"/>
          <w:sz w:val="24"/>
        </w:rPr>
      </w:pPr>
    </w:p>
    <w:p w:rsidR="00C92D30" w:rsidRDefault="00C92D30" w:rsidP="00C92D30">
      <w:pPr>
        <w:ind w:firstLine="283"/>
        <w:jc w:val="both"/>
        <w:rPr>
          <w:sz w:val="24"/>
        </w:rPr>
      </w:pPr>
    </w:p>
    <w:p w:rsidR="00C92D30" w:rsidRPr="00B639A1" w:rsidRDefault="00C92D30" w:rsidP="00C92D30">
      <w:pPr>
        <w:ind w:firstLine="283"/>
        <w:jc w:val="both"/>
        <w:rPr>
          <w:sz w:val="24"/>
        </w:rPr>
      </w:pPr>
    </w:p>
    <w:p w:rsidR="00C92D30" w:rsidRPr="00B639A1" w:rsidRDefault="00C92D30" w:rsidP="00C92D30">
      <w:pPr>
        <w:rPr>
          <w:sz w:val="24"/>
        </w:rPr>
      </w:pPr>
      <w:r w:rsidRPr="00B639A1">
        <w:rPr>
          <w:sz w:val="24"/>
        </w:rPr>
        <w:t>Міський голова</w:t>
      </w:r>
      <w:r w:rsidRPr="00B639A1">
        <w:rPr>
          <w:sz w:val="24"/>
        </w:rPr>
        <w:tab/>
      </w:r>
      <w:r w:rsidRPr="00B639A1">
        <w:rPr>
          <w:sz w:val="24"/>
        </w:rPr>
        <w:tab/>
      </w:r>
      <w:r w:rsidRPr="00B639A1">
        <w:rPr>
          <w:sz w:val="24"/>
        </w:rPr>
        <w:tab/>
      </w:r>
      <w:r w:rsidRPr="00B639A1">
        <w:rPr>
          <w:sz w:val="24"/>
        </w:rPr>
        <w:tab/>
      </w:r>
      <w:r w:rsidRPr="00B639A1">
        <w:rPr>
          <w:sz w:val="24"/>
        </w:rPr>
        <w:tab/>
        <w:t xml:space="preserve">                  </w:t>
      </w:r>
      <w:r w:rsidRPr="00B639A1">
        <w:rPr>
          <w:sz w:val="24"/>
        </w:rPr>
        <w:tab/>
      </w:r>
      <w:r w:rsidRPr="00B639A1">
        <w:rPr>
          <w:sz w:val="24"/>
        </w:rPr>
        <w:tab/>
        <w:t>Веліна ЗАЯЦЬ</w:t>
      </w:r>
    </w:p>
    <w:p w:rsidR="00FC2820" w:rsidRDefault="00FC2820" w:rsidP="00246B62">
      <w:pPr>
        <w:rPr>
          <w:sz w:val="24"/>
        </w:rPr>
      </w:pPr>
    </w:p>
    <w:p w:rsidR="00F32073" w:rsidRPr="00F32073" w:rsidRDefault="00C92D30" w:rsidP="00C92D30">
      <w:pPr>
        <w:spacing w:after="160" w:line="259" w:lineRule="auto"/>
        <w:ind w:firstLine="5954"/>
        <w:rPr>
          <w:sz w:val="24"/>
        </w:rPr>
      </w:pPr>
      <w:r>
        <w:rPr>
          <w:sz w:val="24"/>
        </w:rPr>
        <w:br w:type="page"/>
      </w:r>
      <w:r w:rsidR="00F32073" w:rsidRPr="00F32073">
        <w:rPr>
          <w:sz w:val="24"/>
        </w:rPr>
        <w:lastRenderedPageBreak/>
        <w:t>Дод</w:t>
      </w:r>
      <w:bookmarkStart w:id="0" w:name="_GoBack"/>
      <w:bookmarkEnd w:id="0"/>
      <w:r w:rsidR="00F32073" w:rsidRPr="00F32073">
        <w:rPr>
          <w:sz w:val="24"/>
        </w:rPr>
        <w:t>аток 1.2</w:t>
      </w:r>
    </w:p>
    <w:p w:rsidR="00F32073" w:rsidRPr="00F32073" w:rsidRDefault="00F32073" w:rsidP="00F32073">
      <w:pPr>
        <w:ind w:left="5954"/>
        <w:rPr>
          <w:sz w:val="24"/>
        </w:rPr>
      </w:pPr>
      <w:bookmarkStart w:id="1" w:name="n12917"/>
      <w:bookmarkStart w:id="2" w:name="n11820"/>
      <w:bookmarkEnd w:id="1"/>
      <w:bookmarkEnd w:id="2"/>
      <w:r w:rsidRPr="00F32073">
        <w:rPr>
          <w:sz w:val="24"/>
        </w:rPr>
        <w:t>до рішення сімдесят другої сесії міської ради VІІ скликання від 24.06.2020 р. №4-72/2020</w:t>
      </w:r>
      <w:r w:rsidR="006717DE">
        <w:rPr>
          <w:sz w:val="24"/>
        </w:rPr>
        <w:t xml:space="preserve"> в редакції рішення тридцять четвертої сесії </w:t>
      </w:r>
      <w:r w:rsidR="00F33F4C">
        <w:rPr>
          <w:sz w:val="24"/>
        </w:rPr>
        <w:t xml:space="preserve">міської ради </w:t>
      </w:r>
      <w:r w:rsidR="00F33F4C" w:rsidRPr="00F32073">
        <w:rPr>
          <w:sz w:val="24"/>
        </w:rPr>
        <w:t>VІІ</w:t>
      </w:r>
      <w:r w:rsidR="00F33F4C">
        <w:rPr>
          <w:sz w:val="24"/>
        </w:rPr>
        <w:t>І</w:t>
      </w:r>
      <w:r w:rsidR="00F33F4C" w:rsidRPr="00F32073">
        <w:rPr>
          <w:sz w:val="24"/>
        </w:rPr>
        <w:t xml:space="preserve"> скликання</w:t>
      </w:r>
      <w:r w:rsidR="00F33F4C">
        <w:rPr>
          <w:sz w:val="24"/>
        </w:rPr>
        <w:t xml:space="preserve"> від </w:t>
      </w:r>
      <w:r w:rsidR="00745F29">
        <w:rPr>
          <w:sz w:val="24"/>
        </w:rPr>
        <w:t>26</w:t>
      </w:r>
      <w:r w:rsidR="00F33F4C">
        <w:rPr>
          <w:sz w:val="24"/>
        </w:rPr>
        <w:t>.04.2022 р. №___-</w:t>
      </w:r>
      <w:r w:rsidR="00745F29">
        <w:rPr>
          <w:sz w:val="24"/>
        </w:rPr>
        <w:t>34</w:t>
      </w:r>
      <w:r w:rsidR="00F33F4C">
        <w:rPr>
          <w:sz w:val="24"/>
        </w:rPr>
        <w:t>/2022</w:t>
      </w:r>
    </w:p>
    <w:p w:rsidR="00F32073" w:rsidRPr="00F32073" w:rsidRDefault="00F32073" w:rsidP="00F32073">
      <w:pPr>
        <w:keepNext/>
        <w:keepLines/>
        <w:spacing w:before="240" w:after="240"/>
        <w:jc w:val="center"/>
        <w:rPr>
          <w:sz w:val="24"/>
        </w:rPr>
      </w:pPr>
    </w:p>
    <w:p w:rsidR="00F32073" w:rsidRPr="00F32073" w:rsidRDefault="00F32073" w:rsidP="00F32073">
      <w:pPr>
        <w:keepNext/>
        <w:keepLines/>
        <w:spacing w:before="240" w:after="240"/>
        <w:jc w:val="center"/>
        <w:rPr>
          <w:b/>
          <w:sz w:val="24"/>
        </w:rPr>
      </w:pPr>
      <w:r w:rsidRPr="00F32073">
        <w:rPr>
          <w:b/>
          <w:sz w:val="24"/>
        </w:rPr>
        <w:t>ПЕРЕЛІК</w:t>
      </w:r>
      <w:r w:rsidRPr="00F32073">
        <w:rPr>
          <w:b/>
          <w:sz w:val="24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F32073">
        <w:rPr>
          <w:b/>
          <w:sz w:val="24"/>
          <w:vertAlign w:val="superscript"/>
        </w:rPr>
        <w:t>1</w:t>
      </w:r>
    </w:p>
    <w:p w:rsidR="00F32073" w:rsidRPr="00F32073" w:rsidRDefault="00F32073" w:rsidP="00F32073">
      <w:pPr>
        <w:spacing w:before="120"/>
        <w:ind w:firstLine="567"/>
        <w:jc w:val="center"/>
        <w:rPr>
          <w:sz w:val="24"/>
        </w:rPr>
      </w:pPr>
      <w:r w:rsidRPr="00F32073">
        <w:rPr>
          <w:sz w:val="24"/>
        </w:rPr>
        <w:t>Пільги встановлюються  з 01.01.2021 року та вводяться в дію з 01.01.2021 року</w:t>
      </w:r>
    </w:p>
    <w:p w:rsidR="00F32073" w:rsidRPr="00F32073" w:rsidRDefault="00F32073" w:rsidP="00F32073">
      <w:pPr>
        <w:spacing w:before="120" w:after="120"/>
        <w:ind w:firstLine="567"/>
        <w:jc w:val="both"/>
        <w:rPr>
          <w:sz w:val="24"/>
        </w:rPr>
      </w:pPr>
      <w:r w:rsidRPr="00F32073">
        <w:rPr>
          <w:sz w:val="24"/>
        </w:rPr>
        <w:t>Адміністративно-територіальні одиниці або населені пункти, або території  територіальних громад, на які поширюється дія рішення ради: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343"/>
        <w:gridCol w:w="4281"/>
        <w:gridCol w:w="3338"/>
      </w:tblGrid>
      <w:tr w:rsidR="00F32073" w:rsidRPr="00F32073" w:rsidTr="00F32073">
        <w:tc>
          <w:tcPr>
            <w:tcW w:w="522" w:type="pct"/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Код області</w:t>
            </w:r>
          </w:p>
        </w:tc>
        <w:tc>
          <w:tcPr>
            <w:tcW w:w="671" w:type="pct"/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Код району</w:t>
            </w:r>
          </w:p>
        </w:tc>
        <w:tc>
          <w:tcPr>
            <w:tcW w:w="2139" w:type="pct"/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Код згідно з КОАТУУ</w:t>
            </w:r>
          </w:p>
        </w:tc>
        <w:tc>
          <w:tcPr>
            <w:tcW w:w="1668" w:type="pct"/>
            <w:vAlign w:val="center"/>
          </w:tcPr>
          <w:p w:rsidR="00F32073" w:rsidRPr="00F32073" w:rsidRDefault="00F32073" w:rsidP="00745F29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Найменування адміністративно-територіальної одиниці</w:t>
            </w:r>
            <w:r w:rsidRPr="00F32073">
              <w:rPr>
                <w:sz w:val="24"/>
              </w:rPr>
              <w:br/>
              <w:t>або населеного пункту, або території територіальної громади</w:t>
            </w:r>
          </w:p>
        </w:tc>
      </w:tr>
      <w:tr w:rsidR="00F32073" w:rsidRPr="00F32073" w:rsidTr="00F32073">
        <w:tc>
          <w:tcPr>
            <w:tcW w:w="522" w:type="pct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68</w:t>
            </w:r>
          </w:p>
        </w:tc>
        <w:tc>
          <w:tcPr>
            <w:tcW w:w="671" w:type="pct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68218</w:t>
            </w:r>
          </w:p>
        </w:tc>
        <w:tc>
          <w:tcPr>
            <w:tcW w:w="2139" w:type="pct"/>
          </w:tcPr>
          <w:p w:rsidR="00F32073" w:rsidRPr="00F32073" w:rsidRDefault="00F32073" w:rsidP="00F32073">
            <w:pPr>
              <w:spacing w:before="120"/>
              <w:ind w:left="-36" w:hanging="73"/>
              <w:jc w:val="center"/>
              <w:rPr>
                <w:sz w:val="23"/>
                <w:szCs w:val="23"/>
              </w:rPr>
            </w:pPr>
            <w:r w:rsidRPr="00F32073">
              <w:rPr>
                <w:sz w:val="23"/>
                <w:szCs w:val="23"/>
              </w:rPr>
              <w:t>6821810100, 6821810101, 6821880201, 6821880601, 6821880602, 6821880603, 6821880604, 6821880605, 6821880701,6821880901, 6821881201, 6821881202, 6821881501,6821881801, 6821882101,6821882401, 6821882402 6821882403, 6821882404, 6821882405, 6821882501, 6821882601, 6821882602, 6821882701, 6821883001,6821883301, 6821883304, 6821884401, 6821885301,6821885302, 6821885303, 6821885304, 6821885601, 6821885602, 6821885603,6821885901, 6821885903, 6821885904, 6821887101, 6821887501, 6821887601, 6821887603, 6821887605, 6821887901, 6821887902, 6821888001, 6821888002,6821888301, 6821889501, 6821889502,6821889503</w:t>
            </w:r>
          </w:p>
        </w:tc>
        <w:tc>
          <w:tcPr>
            <w:tcW w:w="1668" w:type="pct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Дунаєвецька міська рада</w:t>
            </w:r>
          </w:p>
        </w:tc>
      </w:tr>
    </w:tbl>
    <w:p w:rsidR="00F32073" w:rsidRPr="00F32073" w:rsidRDefault="00F32073" w:rsidP="00F32073">
      <w:pPr>
        <w:spacing w:before="120"/>
        <w:ind w:firstLine="567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3185"/>
      </w:tblGrid>
      <w:tr w:rsidR="00F32073" w:rsidRPr="00F32073" w:rsidTr="00F32073">
        <w:tc>
          <w:tcPr>
            <w:tcW w:w="3384" w:type="pct"/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Група платників, категорія/класифікація</w:t>
            </w:r>
            <w:r w:rsidRPr="00F32073">
              <w:rPr>
                <w:sz w:val="24"/>
              </w:rPr>
              <w:br/>
              <w:t>будівель та споруд</w:t>
            </w:r>
          </w:p>
        </w:tc>
        <w:tc>
          <w:tcPr>
            <w:tcW w:w="1616" w:type="pct"/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Розмір пільги</w:t>
            </w:r>
            <w:r w:rsidRPr="00F32073">
              <w:rPr>
                <w:sz w:val="24"/>
              </w:rPr>
              <w:br/>
              <w:t>(відсотків суми податкового зобов’язання за рік)</w:t>
            </w:r>
          </w:p>
        </w:tc>
      </w:tr>
      <w:tr w:rsidR="00F32073" w:rsidRPr="00F32073" w:rsidTr="00F32073">
        <w:tc>
          <w:tcPr>
            <w:tcW w:w="3384" w:type="pct"/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both"/>
              <w:rPr>
                <w:sz w:val="24"/>
              </w:rPr>
            </w:pPr>
            <w:r w:rsidRPr="00F32073">
              <w:rPr>
                <w:sz w:val="24"/>
              </w:rPr>
              <w:t xml:space="preserve">Об’єкти нежитлової нерухомості та господарські (присадибні) будівлі (сараї, хліви, гаражі, літні кухні, майстерні, вбиральні, погреби, навіси, котельні, бойлерні, трансформаторні </w:t>
            </w:r>
            <w:r w:rsidRPr="00F32073">
              <w:rPr>
                <w:sz w:val="24"/>
              </w:rPr>
              <w:lastRenderedPageBreak/>
              <w:t>підстанції тощо), що розміщені на присадибних ділянках та прибудинкових територіях житлових, садових, дачних будинків, котеджів, що перебувають у власності фізичних осіб.</w:t>
            </w:r>
          </w:p>
          <w:p w:rsidR="00F32073" w:rsidRPr="00F32073" w:rsidRDefault="009536D5" w:rsidP="00F32073">
            <w:pPr>
              <w:spacing w:before="120"/>
              <w:ind w:firstLine="28"/>
              <w:jc w:val="both"/>
              <w:rPr>
                <w:sz w:val="24"/>
              </w:rPr>
            </w:pPr>
            <w:r>
              <w:rPr>
                <w:sz w:val="24"/>
              </w:rPr>
              <w:t>Така пільга не надається на об’</w:t>
            </w:r>
            <w:r w:rsidR="00F32073" w:rsidRPr="00F32073">
              <w:rPr>
                <w:sz w:val="24"/>
              </w:rPr>
              <w:t>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      </w:r>
          </w:p>
        </w:tc>
        <w:tc>
          <w:tcPr>
            <w:tcW w:w="1616" w:type="pct"/>
            <w:vAlign w:val="center"/>
          </w:tcPr>
          <w:p w:rsidR="00F32073" w:rsidRPr="00F32073" w:rsidRDefault="002603D5" w:rsidP="00F32073">
            <w:pPr>
              <w:spacing w:before="12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D515B7">
              <w:rPr>
                <w:sz w:val="24"/>
              </w:rPr>
              <w:t>0</w:t>
            </w:r>
          </w:p>
        </w:tc>
      </w:tr>
      <w:tr w:rsidR="00F32073" w:rsidRPr="00F32073" w:rsidTr="00F32073"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both"/>
              <w:rPr>
                <w:sz w:val="24"/>
              </w:rPr>
            </w:pPr>
            <w:r w:rsidRPr="00F32073">
              <w:rPr>
                <w:sz w:val="24"/>
              </w:rPr>
              <w:lastRenderedPageBreak/>
              <w:t>Об’єкти нежитлової нерухомості, що перебувають у власності громадських об’єднань/організацій, благодійних організацій,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      </w:r>
          </w:p>
          <w:p w:rsidR="00F32073" w:rsidRPr="00F32073" w:rsidRDefault="00F32073" w:rsidP="00F32073">
            <w:pPr>
              <w:spacing w:before="120"/>
              <w:ind w:firstLine="28"/>
              <w:jc w:val="both"/>
              <w:rPr>
                <w:sz w:val="24"/>
              </w:rPr>
            </w:pPr>
            <w:r w:rsidRPr="00F32073">
              <w:rPr>
                <w:sz w:val="24"/>
              </w:rPr>
              <w:t xml:space="preserve">Така пільга не надається на </w:t>
            </w:r>
            <w:proofErr w:type="spellStart"/>
            <w:r w:rsidRPr="00F32073">
              <w:rPr>
                <w:sz w:val="24"/>
              </w:rPr>
              <w:t>обʼєкти</w:t>
            </w:r>
            <w:proofErr w:type="spellEnd"/>
            <w:r w:rsidRPr="00F32073">
              <w:rPr>
                <w:sz w:val="24"/>
              </w:rPr>
              <w:t xml:space="preserve">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3" w:rsidRPr="00F32073" w:rsidRDefault="00F32073" w:rsidP="00F32073">
            <w:pPr>
              <w:spacing w:before="120"/>
              <w:ind w:firstLine="28"/>
              <w:jc w:val="center"/>
              <w:rPr>
                <w:sz w:val="24"/>
              </w:rPr>
            </w:pPr>
            <w:r w:rsidRPr="00F32073">
              <w:rPr>
                <w:sz w:val="24"/>
              </w:rPr>
              <w:t>100</w:t>
            </w:r>
          </w:p>
        </w:tc>
      </w:tr>
    </w:tbl>
    <w:p w:rsidR="00F32073" w:rsidRPr="00F32073" w:rsidRDefault="00F32073" w:rsidP="00F32073">
      <w:pPr>
        <w:spacing w:before="120"/>
        <w:ind w:firstLine="567"/>
        <w:jc w:val="both"/>
        <w:rPr>
          <w:sz w:val="10"/>
          <w:szCs w:val="10"/>
        </w:rPr>
      </w:pPr>
    </w:p>
    <w:p w:rsidR="00F32073" w:rsidRPr="00F32073" w:rsidRDefault="00F32073" w:rsidP="00F32073">
      <w:pPr>
        <w:spacing w:before="120"/>
        <w:ind w:firstLine="567"/>
        <w:jc w:val="both"/>
        <w:rPr>
          <w:sz w:val="20"/>
          <w:szCs w:val="20"/>
        </w:rPr>
      </w:pPr>
      <w:r w:rsidRPr="00F32073">
        <w:rPr>
          <w:sz w:val="20"/>
          <w:szCs w:val="20"/>
          <w:vertAlign w:val="superscript"/>
        </w:rPr>
        <w:t xml:space="preserve">1 </w:t>
      </w:r>
      <w:r w:rsidRPr="00F32073">
        <w:rPr>
          <w:sz w:val="20"/>
          <w:szCs w:val="20"/>
        </w:rPr>
        <w:t>Пільги визначаються з урахуванням норм підпункту 12.3.7 пункту 12.3 статті</w:t>
      </w:r>
      <w:r w:rsidRPr="00F32073">
        <w:rPr>
          <w:sz w:val="20"/>
          <w:szCs w:val="20"/>
          <w:lang w:val="ru-RU"/>
        </w:rPr>
        <w:t xml:space="preserve"> </w:t>
      </w:r>
      <w:r w:rsidRPr="00F32073">
        <w:rPr>
          <w:sz w:val="20"/>
          <w:szCs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F32073" w:rsidRPr="00F32073" w:rsidRDefault="00F32073" w:rsidP="00F32073">
      <w:pPr>
        <w:spacing w:after="200" w:line="276" w:lineRule="auto"/>
        <w:rPr>
          <w:rFonts w:eastAsiaTheme="minorHAnsi"/>
          <w:sz w:val="24"/>
          <w:lang w:eastAsia="en-US"/>
        </w:rPr>
      </w:pPr>
    </w:p>
    <w:p w:rsidR="00F32073" w:rsidRPr="00F32073" w:rsidRDefault="00F32073" w:rsidP="00F32073">
      <w:pPr>
        <w:spacing w:after="200" w:line="276" w:lineRule="auto"/>
        <w:rPr>
          <w:rFonts w:eastAsiaTheme="minorHAnsi"/>
          <w:sz w:val="24"/>
          <w:lang w:val="ru-RU" w:eastAsia="en-US"/>
        </w:rPr>
      </w:pPr>
    </w:p>
    <w:p w:rsidR="00F32073" w:rsidRPr="00F32073" w:rsidRDefault="00F32073" w:rsidP="00F32073">
      <w:pPr>
        <w:spacing w:after="200" w:line="276" w:lineRule="auto"/>
        <w:jc w:val="both"/>
        <w:rPr>
          <w:rFonts w:eastAsiaTheme="minorHAnsi"/>
          <w:sz w:val="24"/>
          <w:lang w:val="ru-RU" w:eastAsia="en-US"/>
        </w:rPr>
      </w:pPr>
      <w:proofErr w:type="spellStart"/>
      <w:r w:rsidRPr="00F32073">
        <w:rPr>
          <w:rFonts w:eastAsiaTheme="minorHAnsi"/>
          <w:sz w:val="24"/>
          <w:lang w:val="ru-RU" w:eastAsia="en-US"/>
        </w:rPr>
        <w:t>Секретар</w:t>
      </w:r>
      <w:proofErr w:type="spellEnd"/>
      <w:r w:rsidRPr="00F32073">
        <w:rPr>
          <w:rFonts w:eastAsiaTheme="minorHAnsi"/>
          <w:sz w:val="24"/>
          <w:lang w:val="ru-RU" w:eastAsia="en-US"/>
        </w:rPr>
        <w:t xml:space="preserve"> </w:t>
      </w:r>
      <w:proofErr w:type="spellStart"/>
      <w:r w:rsidRPr="00F32073">
        <w:rPr>
          <w:rFonts w:eastAsiaTheme="minorHAnsi"/>
          <w:sz w:val="24"/>
          <w:lang w:val="ru-RU" w:eastAsia="en-US"/>
        </w:rPr>
        <w:t>міської</w:t>
      </w:r>
      <w:proofErr w:type="spellEnd"/>
      <w:r w:rsidRPr="00F32073">
        <w:rPr>
          <w:rFonts w:eastAsiaTheme="minorHAnsi"/>
          <w:sz w:val="24"/>
          <w:lang w:val="ru-RU" w:eastAsia="en-US"/>
        </w:rPr>
        <w:t xml:space="preserve"> ради</w:t>
      </w:r>
      <w:r w:rsidRPr="00F32073">
        <w:rPr>
          <w:rFonts w:eastAsiaTheme="minorHAnsi"/>
          <w:sz w:val="24"/>
          <w:lang w:val="ru-RU" w:eastAsia="en-US"/>
        </w:rPr>
        <w:tab/>
      </w:r>
      <w:r w:rsidRPr="00F32073">
        <w:rPr>
          <w:rFonts w:eastAsiaTheme="minorHAnsi"/>
          <w:sz w:val="24"/>
          <w:lang w:val="ru-RU" w:eastAsia="en-US"/>
        </w:rPr>
        <w:tab/>
      </w:r>
      <w:r w:rsidRPr="00F32073">
        <w:rPr>
          <w:rFonts w:eastAsiaTheme="minorHAnsi"/>
          <w:sz w:val="24"/>
          <w:lang w:val="ru-RU" w:eastAsia="en-US"/>
        </w:rPr>
        <w:tab/>
      </w:r>
      <w:r w:rsidRPr="00F32073">
        <w:rPr>
          <w:rFonts w:eastAsiaTheme="minorHAnsi"/>
          <w:sz w:val="24"/>
          <w:lang w:val="ru-RU" w:eastAsia="en-US"/>
        </w:rPr>
        <w:tab/>
      </w:r>
      <w:r w:rsidRPr="00F32073">
        <w:rPr>
          <w:rFonts w:eastAsiaTheme="minorHAnsi"/>
          <w:sz w:val="24"/>
          <w:lang w:val="ru-RU" w:eastAsia="en-US"/>
        </w:rPr>
        <w:tab/>
      </w:r>
      <w:r w:rsidRPr="00F32073">
        <w:rPr>
          <w:rFonts w:eastAsiaTheme="minorHAnsi"/>
          <w:sz w:val="24"/>
          <w:lang w:val="ru-RU" w:eastAsia="en-US"/>
        </w:rPr>
        <w:tab/>
      </w:r>
      <w:r w:rsidRPr="00F32073">
        <w:rPr>
          <w:rFonts w:eastAsiaTheme="minorHAnsi"/>
          <w:sz w:val="24"/>
          <w:lang w:val="ru-RU" w:eastAsia="en-US"/>
        </w:rPr>
        <w:tab/>
        <w:t>Олег ГРИГОР’ЄВ</w:t>
      </w: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887450" w:rsidRDefault="00887450" w:rsidP="00FC2820">
      <w:pPr>
        <w:ind w:left="5954"/>
        <w:rPr>
          <w:color w:val="000000"/>
          <w:sz w:val="24"/>
        </w:rPr>
      </w:pPr>
    </w:p>
    <w:p w:rsidR="00FC2820" w:rsidRPr="00B40375" w:rsidRDefault="00FC2820" w:rsidP="00FC2820">
      <w:pPr>
        <w:ind w:left="5954"/>
        <w:rPr>
          <w:sz w:val="24"/>
        </w:rPr>
      </w:pPr>
      <w:r w:rsidRPr="00B40375">
        <w:rPr>
          <w:sz w:val="24"/>
        </w:rPr>
        <w:lastRenderedPageBreak/>
        <w:t>Додаток 1.2.</w:t>
      </w:r>
    </w:p>
    <w:p w:rsidR="00B40375" w:rsidRPr="00F32073" w:rsidRDefault="00FC2820" w:rsidP="00B40375">
      <w:pPr>
        <w:ind w:left="5954"/>
        <w:rPr>
          <w:sz w:val="24"/>
        </w:rPr>
      </w:pPr>
      <w:r w:rsidRPr="003C67E4">
        <w:rPr>
          <w:sz w:val="24"/>
        </w:rPr>
        <w:t xml:space="preserve">до рішення п’ятнадцятої сесії міської ради </w:t>
      </w:r>
      <w:r w:rsidRPr="00B40375">
        <w:rPr>
          <w:sz w:val="24"/>
        </w:rPr>
        <w:t>V</w:t>
      </w:r>
      <w:r w:rsidRPr="003C67E4">
        <w:rPr>
          <w:sz w:val="24"/>
        </w:rPr>
        <w:t xml:space="preserve">ІІІ скликання </w:t>
      </w:r>
      <w:r w:rsidR="00B40375">
        <w:rPr>
          <w:sz w:val="24"/>
        </w:rPr>
        <w:t xml:space="preserve">від 13.07.2021 р. </w:t>
      </w:r>
      <w:r w:rsidRPr="003C67E4">
        <w:rPr>
          <w:sz w:val="24"/>
        </w:rPr>
        <w:t>№5-15/2021</w:t>
      </w:r>
      <w:r w:rsidR="00B40375">
        <w:rPr>
          <w:sz w:val="24"/>
        </w:rPr>
        <w:t xml:space="preserve"> в редакції рішення тридцять четвертої сесії міської ради </w:t>
      </w:r>
      <w:r w:rsidR="00B40375" w:rsidRPr="00F32073">
        <w:rPr>
          <w:sz w:val="24"/>
        </w:rPr>
        <w:t>VІІ</w:t>
      </w:r>
      <w:r w:rsidR="00B40375">
        <w:rPr>
          <w:sz w:val="24"/>
        </w:rPr>
        <w:t>І</w:t>
      </w:r>
      <w:r w:rsidR="00B40375" w:rsidRPr="00F32073">
        <w:rPr>
          <w:sz w:val="24"/>
        </w:rPr>
        <w:t xml:space="preserve"> скликання</w:t>
      </w:r>
      <w:r w:rsidR="00B40375">
        <w:rPr>
          <w:sz w:val="24"/>
        </w:rPr>
        <w:t xml:space="preserve"> від </w:t>
      </w:r>
      <w:r w:rsidR="00745F29">
        <w:rPr>
          <w:sz w:val="24"/>
        </w:rPr>
        <w:t>26</w:t>
      </w:r>
      <w:r w:rsidR="00B40375">
        <w:rPr>
          <w:sz w:val="24"/>
        </w:rPr>
        <w:t>.04.2022 р. №___-</w:t>
      </w:r>
      <w:r w:rsidR="00745F29">
        <w:rPr>
          <w:sz w:val="24"/>
        </w:rPr>
        <w:t>34</w:t>
      </w:r>
      <w:r w:rsidR="00B40375">
        <w:rPr>
          <w:sz w:val="24"/>
        </w:rPr>
        <w:t>/2022</w:t>
      </w:r>
    </w:p>
    <w:p w:rsidR="00FC2820" w:rsidRPr="003C67E4" w:rsidRDefault="00FC2820" w:rsidP="00FC2820">
      <w:pPr>
        <w:ind w:left="5954"/>
        <w:rPr>
          <w:sz w:val="24"/>
        </w:rPr>
      </w:pPr>
    </w:p>
    <w:p w:rsidR="00FC2820" w:rsidRPr="003C67E4" w:rsidRDefault="00FC2820" w:rsidP="00FC2820">
      <w:pPr>
        <w:ind w:left="5954"/>
        <w:rPr>
          <w:sz w:val="24"/>
        </w:rPr>
      </w:pPr>
    </w:p>
    <w:p w:rsidR="00FC2820" w:rsidRPr="003C67E4" w:rsidRDefault="00FC2820" w:rsidP="00FC2820">
      <w:pPr>
        <w:keepNext/>
        <w:keepLines/>
        <w:spacing w:before="240" w:after="240"/>
        <w:jc w:val="center"/>
        <w:rPr>
          <w:b/>
          <w:sz w:val="24"/>
        </w:rPr>
      </w:pPr>
      <w:r w:rsidRPr="003C67E4">
        <w:rPr>
          <w:b/>
          <w:sz w:val="24"/>
        </w:rPr>
        <w:t>ПЕРЕЛІК</w:t>
      </w:r>
      <w:r w:rsidRPr="003C67E4">
        <w:rPr>
          <w:b/>
          <w:sz w:val="24"/>
        </w:rPr>
        <w:br/>
        <w:t>пільг для фізичних та юридичних осіб із сплати податку на нерухоме майно, відмінне від земельної ділянки</w:t>
      </w:r>
      <w:r w:rsidRPr="003C67E4">
        <w:rPr>
          <w:b/>
          <w:sz w:val="24"/>
          <w:vertAlign w:val="superscript"/>
        </w:rPr>
        <w:t>1</w:t>
      </w:r>
      <w:r w:rsidRPr="003C67E4">
        <w:rPr>
          <w:b/>
          <w:sz w:val="24"/>
        </w:rPr>
        <w:t>, наданих відповідно до підпункту 266.4.2 пункту 266.4 статті 266 Податкового кодексу України</w:t>
      </w:r>
    </w:p>
    <w:p w:rsidR="00FC2820" w:rsidRPr="003C67E4" w:rsidRDefault="00FC2820" w:rsidP="00FC2820">
      <w:pPr>
        <w:spacing w:before="120"/>
        <w:ind w:firstLine="567"/>
        <w:jc w:val="center"/>
        <w:rPr>
          <w:sz w:val="24"/>
        </w:rPr>
      </w:pPr>
      <w:r w:rsidRPr="003C67E4">
        <w:rPr>
          <w:sz w:val="24"/>
        </w:rPr>
        <w:t>Пільги встановлюються  з 01.01.2022 року та вводяться в дію з 01.01.2022 року</w:t>
      </w:r>
    </w:p>
    <w:p w:rsidR="00FC2820" w:rsidRPr="003C67E4" w:rsidRDefault="00FC2820" w:rsidP="00FC2820">
      <w:pPr>
        <w:spacing w:before="120" w:after="120"/>
        <w:ind w:firstLine="567"/>
        <w:jc w:val="both"/>
        <w:rPr>
          <w:sz w:val="24"/>
        </w:rPr>
      </w:pPr>
      <w:r w:rsidRPr="003C67E4">
        <w:rPr>
          <w:sz w:val="24"/>
        </w:rPr>
        <w:t>Адміністративно-територіальні одиниці або населені пункти, або території  територіальних громад, на які поширюється дія рішення ради: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197"/>
        <w:gridCol w:w="4731"/>
        <w:gridCol w:w="2889"/>
      </w:tblGrid>
      <w:tr w:rsidR="00FC2820" w:rsidRPr="003C67E4" w:rsidTr="004B0D27">
        <w:tc>
          <w:tcPr>
            <w:tcW w:w="529" w:type="pct"/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Код області</w:t>
            </w:r>
          </w:p>
        </w:tc>
        <w:tc>
          <w:tcPr>
            <w:tcW w:w="607" w:type="pct"/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Код району</w:t>
            </w:r>
          </w:p>
        </w:tc>
        <w:tc>
          <w:tcPr>
            <w:tcW w:w="2399" w:type="pct"/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Код згідно з КОАТУУ</w:t>
            </w:r>
          </w:p>
        </w:tc>
        <w:tc>
          <w:tcPr>
            <w:tcW w:w="1465" w:type="pct"/>
            <w:vAlign w:val="center"/>
          </w:tcPr>
          <w:p w:rsidR="00FC2820" w:rsidRPr="003C67E4" w:rsidRDefault="00FC2820" w:rsidP="00745F29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Найменування адміністративно-територіальної одиниці</w:t>
            </w:r>
            <w:r w:rsidRPr="003C67E4">
              <w:rPr>
                <w:sz w:val="24"/>
              </w:rPr>
              <w:br/>
              <w:t>або населеного пункту, або території територіальної громади</w:t>
            </w:r>
          </w:p>
        </w:tc>
      </w:tr>
      <w:tr w:rsidR="00FC2820" w:rsidRPr="003C67E4" w:rsidTr="004B0D27">
        <w:tc>
          <w:tcPr>
            <w:tcW w:w="529" w:type="pct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68</w:t>
            </w:r>
          </w:p>
        </w:tc>
        <w:tc>
          <w:tcPr>
            <w:tcW w:w="607" w:type="pct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68218</w:t>
            </w:r>
          </w:p>
        </w:tc>
        <w:tc>
          <w:tcPr>
            <w:tcW w:w="2399" w:type="pct"/>
          </w:tcPr>
          <w:p w:rsidR="00FC2820" w:rsidRPr="003C67E4" w:rsidRDefault="00FC2820" w:rsidP="004B0D27">
            <w:pPr>
              <w:spacing w:before="120"/>
              <w:ind w:left="-537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6821810100, 6821810101, 6821880201, 6821880601, 6821880602, 6821880603, 6821880604, 6821880605, 6821880701,6821880901, 6821881201, 6821881202, 6821881501,6821881801, 6821882101,6821882401, 6821882402 6821882403, 6821882404, 6821882405, 6821882501, 6821882601, 6821882602, 6821882701, 6821883001,6821883301, 6821883304, 6821884401, 6821885301,6821885302, 6821885303, 6821885304, 6821885601, 6821885602, 6821885603,6821885901, 6821885903, 6821885904, 6821887101, 6821887501, 6821887601, 6821887603, 6821887605, 6821887901, 6821887902, 6821888001, 6821888002,6821888301, 6821889501, 6821889502,6821889503</w:t>
            </w:r>
          </w:p>
        </w:tc>
        <w:tc>
          <w:tcPr>
            <w:tcW w:w="1465" w:type="pct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Дунаєвецька міська рада</w:t>
            </w:r>
          </w:p>
        </w:tc>
      </w:tr>
    </w:tbl>
    <w:p w:rsidR="00FC2820" w:rsidRPr="003C67E4" w:rsidRDefault="00FC2820" w:rsidP="00FC2820">
      <w:pPr>
        <w:spacing w:before="120"/>
        <w:ind w:firstLine="567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  <w:gridCol w:w="2884"/>
      </w:tblGrid>
      <w:tr w:rsidR="00FC2820" w:rsidRPr="003C67E4" w:rsidTr="004B0D27">
        <w:tc>
          <w:tcPr>
            <w:tcW w:w="3537" w:type="pct"/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Група платників, категорія/класифікація</w:t>
            </w:r>
            <w:r w:rsidRPr="003C67E4">
              <w:rPr>
                <w:sz w:val="24"/>
              </w:rPr>
              <w:br/>
              <w:t>будівель та споруд</w:t>
            </w:r>
          </w:p>
        </w:tc>
        <w:tc>
          <w:tcPr>
            <w:tcW w:w="1463" w:type="pct"/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Розмір пільги</w:t>
            </w:r>
            <w:r w:rsidRPr="003C67E4">
              <w:rPr>
                <w:sz w:val="24"/>
              </w:rPr>
              <w:br/>
              <w:t>(відсотків суми податкового зобов’язання за рік)</w:t>
            </w:r>
          </w:p>
        </w:tc>
      </w:tr>
      <w:tr w:rsidR="00FC2820" w:rsidRPr="003C67E4" w:rsidTr="004B0D27">
        <w:tc>
          <w:tcPr>
            <w:tcW w:w="3537" w:type="pct"/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both"/>
              <w:rPr>
                <w:sz w:val="24"/>
              </w:rPr>
            </w:pPr>
            <w:r w:rsidRPr="003C67E4">
              <w:rPr>
                <w:sz w:val="24"/>
              </w:rPr>
              <w:t xml:space="preserve">Об’єкти нежитлової нерухомості та господарські (присадибні) будівлі (сараї, хліви, гаражі, літні кухні, майстерні, вбиральні, </w:t>
            </w:r>
            <w:r w:rsidRPr="003C67E4">
              <w:rPr>
                <w:sz w:val="24"/>
              </w:rPr>
              <w:lastRenderedPageBreak/>
              <w:t>погреби, навіси, котельні, бойлерні, трансформаторні підстанції тощо), що розміщені на присадибних ділянках та прибудинкових територіях житлових, садових, дачних будинків, котеджів, що перебувають у власності фізичних осіб.</w:t>
            </w:r>
          </w:p>
          <w:p w:rsidR="00FC2820" w:rsidRPr="003C67E4" w:rsidRDefault="00FC2820" w:rsidP="004B0D27">
            <w:pPr>
              <w:spacing w:before="120"/>
              <w:ind w:firstLine="28"/>
              <w:jc w:val="both"/>
              <w:rPr>
                <w:sz w:val="24"/>
              </w:rPr>
            </w:pPr>
            <w:r w:rsidRPr="003C67E4">
              <w:rPr>
                <w:sz w:val="24"/>
              </w:rPr>
              <w:t xml:space="preserve">Така пільга не надається на </w:t>
            </w:r>
            <w:proofErr w:type="spellStart"/>
            <w:r w:rsidRPr="003C67E4">
              <w:rPr>
                <w:sz w:val="24"/>
              </w:rPr>
              <w:t>обʼєкти</w:t>
            </w:r>
            <w:proofErr w:type="spellEnd"/>
            <w:r w:rsidRPr="003C67E4">
              <w:rPr>
                <w:sz w:val="24"/>
              </w:rPr>
              <w:t xml:space="preserve">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      </w:r>
          </w:p>
        </w:tc>
        <w:tc>
          <w:tcPr>
            <w:tcW w:w="1463" w:type="pct"/>
            <w:vAlign w:val="center"/>
          </w:tcPr>
          <w:p w:rsidR="00FC2820" w:rsidRPr="003C67E4" w:rsidRDefault="002603D5" w:rsidP="004B0D27">
            <w:pPr>
              <w:spacing w:before="12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D515B7">
              <w:rPr>
                <w:sz w:val="24"/>
              </w:rPr>
              <w:t>0</w:t>
            </w:r>
          </w:p>
        </w:tc>
      </w:tr>
      <w:tr w:rsidR="00FC2820" w:rsidRPr="003C67E4" w:rsidTr="004B0D27"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both"/>
              <w:rPr>
                <w:sz w:val="24"/>
              </w:rPr>
            </w:pPr>
            <w:r w:rsidRPr="003C67E4">
              <w:rPr>
                <w:sz w:val="24"/>
              </w:rPr>
              <w:lastRenderedPageBreak/>
              <w:t>Об’єкти нежитлової нерухомості, що перебувають у власності громадських об’єднань/організацій, благодійних організацій,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      </w:r>
          </w:p>
          <w:p w:rsidR="00FC2820" w:rsidRPr="003C67E4" w:rsidRDefault="00FC2820" w:rsidP="004B0D27">
            <w:pPr>
              <w:spacing w:before="120"/>
              <w:ind w:firstLine="28"/>
              <w:jc w:val="both"/>
              <w:rPr>
                <w:sz w:val="24"/>
              </w:rPr>
            </w:pPr>
            <w:r w:rsidRPr="003C67E4">
              <w:rPr>
                <w:sz w:val="24"/>
              </w:rPr>
              <w:t xml:space="preserve">Така пільга не надається на </w:t>
            </w:r>
            <w:proofErr w:type="spellStart"/>
            <w:r w:rsidRPr="003C67E4">
              <w:rPr>
                <w:sz w:val="24"/>
              </w:rPr>
              <w:t>обʼєкти</w:t>
            </w:r>
            <w:proofErr w:type="spellEnd"/>
            <w:r w:rsidRPr="003C67E4">
              <w:rPr>
                <w:sz w:val="24"/>
              </w:rPr>
              <w:t xml:space="preserve">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0" w:rsidRPr="003C67E4" w:rsidRDefault="00FC2820" w:rsidP="004B0D27">
            <w:pPr>
              <w:spacing w:before="120"/>
              <w:ind w:firstLine="28"/>
              <w:jc w:val="center"/>
              <w:rPr>
                <w:sz w:val="24"/>
              </w:rPr>
            </w:pPr>
            <w:r w:rsidRPr="003C67E4">
              <w:rPr>
                <w:sz w:val="24"/>
              </w:rPr>
              <w:t>100</w:t>
            </w:r>
          </w:p>
        </w:tc>
      </w:tr>
    </w:tbl>
    <w:p w:rsidR="00FC2820" w:rsidRPr="003C67E4" w:rsidRDefault="00FC2820" w:rsidP="00FC2820">
      <w:pPr>
        <w:spacing w:before="120"/>
        <w:ind w:firstLine="567"/>
        <w:jc w:val="both"/>
        <w:rPr>
          <w:sz w:val="20"/>
          <w:szCs w:val="20"/>
        </w:rPr>
      </w:pPr>
      <w:r w:rsidRPr="003C67E4">
        <w:rPr>
          <w:sz w:val="20"/>
          <w:szCs w:val="20"/>
          <w:vertAlign w:val="superscript"/>
        </w:rPr>
        <w:t xml:space="preserve">1 </w:t>
      </w:r>
      <w:r w:rsidRPr="003C67E4">
        <w:rPr>
          <w:sz w:val="20"/>
          <w:szCs w:val="20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FC2820" w:rsidRPr="003C67E4" w:rsidRDefault="00FC2820" w:rsidP="00FC2820">
      <w:pPr>
        <w:ind w:left="5954"/>
        <w:rPr>
          <w:sz w:val="24"/>
        </w:rPr>
      </w:pPr>
    </w:p>
    <w:p w:rsidR="00FC2820" w:rsidRPr="003C67E4" w:rsidRDefault="00FC2820" w:rsidP="00FC2820">
      <w:pPr>
        <w:ind w:left="5954"/>
        <w:rPr>
          <w:sz w:val="24"/>
        </w:rPr>
      </w:pPr>
    </w:p>
    <w:p w:rsidR="00FC2820" w:rsidRPr="003C67E4" w:rsidRDefault="00FC2820" w:rsidP="00FC2820">
      <w:pPr>
        <w:ind w:left="5954"/>
        <w:jc w:val="both"/>
        <w:rPr>
          <w:sz w:val="24"/>
        </w:rPr>
      </w:pPr>
    </w:p>
    <w:p w:rsidR="00FC2820" w:rsidRPr="003C67E4" w:rsidRDefault="00FC2820" w:rsidP="00FC2820">
      <w:pPr>
        <w:jc w:val="both"/>
        <w:rPr>
          <w:sz w:val="24"/>
        </w:rPr>
      </w:pPr>
      <w:r w:rsidRPr="003C67E4">
        <w:rPr>
          <w:sz w:val="24"/>
        </w:rPr>
        <w:t>Секретар міської ради</w:t>
      </w:r>
      <w:r w:rsidRPr="003C67E4">
        <w:rPr>
          <w:sz w:val="24"/>
        </w:rPr>
        <w:tab/>
      </w:r>
      <w:r w:rsidRPr="003C67E4">
        <w:rPr>
          <w:sz w:val="24"/>
        </w:rPr>
        <w:tab/>
      </w:r>
      <w:r w:rsidRPr="003C67E4">
        <w:rPr>
          <w:sz w:val="24"/>
        </w:rPr>
        <w:tab/>
      </w:r>
      <w:r w:rsidRPr="003C67E4">
        <w:rPr>
          <w:sz w:val="24"/>
        </w:rPr>
        <w:tab/>
      </w:r>
      <w:r w:rsidRPr="003C67E4">
        <w:rPr>
          <w:sz w:val="24"/>
        </w:rPr>
        <w:tab/>
      </w:r>
      <w:r w:rsidRPr="003C67E4">
        <w:rPr>
          <w:sz w:val="24"/>
        </w:rPr>
        <w:tab/>
      </w:r>
      <w:r w:rsidRPr="003C67E4">
        <w:rPr>
          <w:sz w:val="24"/>
        </w:rPr>
        <w:tab/>
        <w:t>Олег ГРИГОР’ЄВ</w:t>
      </w:r>
    </w:p>
    <w:p w:rsidR="00FC2820" w:rsidRPr="003C67E4" w:rsidRDefault="00FC2820" w:rsidP="00FC2820">
      <w:pPr>
        <w:rPr>
          <w:sz w:val="24"/>
        </w:rPr>
      </w:pPr>
    </w:p>
    <w:p w:rsidR="00D32A40" w:rsidRDefault="00D32A40"/>
    <w:sectPr w:rsidR="00D32A40" w:rsidSect="006E6462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AA"/>
    <w:rsid w:val="001219D6"/>
    <w:rsid w:val="00246B62"/>
    <w:rsid w:val="002603D5"/>
    <w:rsid w:val="003A2DDC"/>
    <w:rsid w:val="00433EC2"/>
    <w:rsid w:val="004A590D"/>
    <w:rsid w:val="004D115B"/>
    <w:rsid w:val="005771AA"/>
    <w:rsid w:val="005844CD"/>
    <w:rsid w:val="005A167D"/>
    <w:rsid w:val="006435F2"/>
    <w:rsid w:val="006717DE"/>
    <w:rsid w:val="00690D91"/>
    <w:rsid w:val="006A65B3"/>
    <w:rsid w:val="006C315F"/>
    <w:rsid w:val="00745F29"/>
    <w:rsid w:val="0080655C"/>
    <w:rsid w:val="00887450"/>
    <w:rsid w:val="008E76B7"/>
    <w:rsid w:val="0091034E"/>
    <w:rsid w:val="009536D5"/>
    <w:rsid w:val="009C23C2"/>
    <w:rsid w:val="00A03002"/>
    <w:rsid w:val="00AF399C"/>
    <w:rsid w:val="00B40375"/>
    <w:rsid w:val="00BF5C00"/>
    <w:rsid w:val="00C71855"/>
    <w:rsid w:val="00C92D30"/>
    <w:rsid w:val="00CD7BD5"/>
    <w:rsid w:val="00D32A40"/>
    <w:rsid w:val="00D515B7"/>
    <w:rsid w:val="00DB437C"/>
    <w:rsid w:val="00E70B41"/>
    <w:rsid w:val="00EF065B"/>
    <w:rsid w:val="00F32073"/>
    <w:rsid w:val="00F33F4C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B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6B62"/>
    <w:rPr>
      <w:rFonts w:ascii="Cambria" w:eastAsia="Times New Roman" w:hAnsi="Cambria" w:cs="Times New Roman"/>
      <w:b/>
      <w:bCs/>
      <w:color w:val="4F81BD"/>
    </w:rPr>
  </w:style>
  <w:style w:type="paragraph" w:customStyle="1" w:styleId="1">
    <w:name w:val="Без интервала1"/>
    <w:uiPriority w:val="99"/>
    <w:qFormat/>
    <w:rsid w:val="00246B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0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0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B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6B62"/>
    <w:rPr>
      <w:rFonts w:ascii="Cambria" w:eastAsia="Times New Roman" w:hAnsi="Cambria" w:cs="Times New Roman"/>
      <w:b/>
      <w:bCs/>
      <w:color w:val="4F81BD"/>
    </w:rPr>
  </w:style>
  <w:style w:type="paragraph" w:customStyle="1" w:styleId="1">
    <w:name w:val="Без интервала1"/>
    <w:uiPriority w:val="99"/>
    <w:qFormat/>
    <w:rsid w:val="00246B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0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0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Tanya-PC</dc:creator>
  <cp:lastModifiedBy>User</cp:lastModifiedBy>
  <cp:revision>4</cp:revision>
  <cp:lastPrinted>2022-04-11T11:07:00Z</cp:lastPrinted>
  <dcterms:created xsi:type="dcterms:W3CDTF">2022-04-15T08:02:00Z</dcterms:created>
  <dcterms:modified xsi:type="dcterms:W3CDTF">2022-06-03T06:00:00Z</dcterms:modified>
</cp:coreProperties>
</file>