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2"/>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 </w:t>
      </w:r>
      <w:r>
        <w:object w:dxaOrig="504" w:dyaOrig="835">
          <v:rect xmlns:o="urn:schemas-microsoft-com:office:office" xmlns:v="urn:schemas-microsoft-com:vml" id="rectole0000000000" style="width:25.200000pt;height:4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ДУНАЄВЕЦЬКА МІСЬКА РАДА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ВИКОНАВЧИЙ КОМІТЕТ</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Проєкт РІШЕННЯ</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лютого 2021 р.</w:t>
        <w:tab/>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Дунаївці</w:t>
        <w:tab/>
        <w:tab/>
        <w:tab/>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погодження звіту про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виконання бюджету Дунаєвецької</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міської ради за 2020 рік</w:t>
      </w:r>
    </w:p>
    <w:p>
      <w:pPr>
        <w:spacing w:before="0" w:after="0" w:line="240"/>
        <w:ind w:right="6065"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Керуючись  ст. 28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ст.80 Бюджетного кодексу України, заслухавши звіт начальника  фінансового управління Дунаєвецької міської ради Абзалової Т.В.  "Про виконання бюджету Дунаєвецької міської ради за 2020 рік",  виконавчий комітет міської ради</w:t>
      </w:r>
    </w:p>
    <w:p>
      <w:pPr>
        <w:spacing w:before="0" w:after="160" w:line="256"/>
        <w:ind w:right="0" w:left="0" w:firstLine="0"/>
        <w:jc w:val="both"/>
        <w:rPr>
          <w:rFonts w:ascii="Times New Roman" w:hAnsi="Times New Roman" w:cs="Times New Roman" w:eastAsia="Times New Roman"/>
          <w:color w:val="auto"/>
          <w:spacing w:val="0"/>
          <w:position w:val="0"/>
          <w:sz w:val="28"/>
          <w:shd w:fill="auto" w:val="clear"/>
        </w:rPr>
      </w:pPr>
    </w:p>
    <w:p>
      <w:pPr>
        <w:spacing w:before="0" w:after="160" w:line="25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ВИРІШИВ </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3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Погодити звіт  про  виконання бюджету Дунаєвецької міської ради за 2020 рік (додається).</w:t>
      </w:r>
    </w:p>
    <w:p>
      <w:pPr>
        <w:spacing w:before="0" w:after="0" w:line="240"/>
        <w:ind w:right="-3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Контроль за виконанням даного рішення покласти на міського голову           В. Заяць.</w:t>
      </w:r>
    </w:p>
    <w:p>
      <w:pPr>
        <w:spacing w:before="0" w:after="200" w:line="276"/>
        <w:ind w:right="0" w:left="0" w:firstLine="567"/>
        <w:jc w:val="left"/>
        <w:rPr>
          <w:rFonts w:ascii="Times New Roman" w:hAnsi="Times New Roman" w:cs="Times New Roman" w:eastAsia="Times New Roman"/>
          <w:color w:val="auto"/>
          <w:spacing w:val="0"/>
          <w:position w:val="0"/>
          <w:sz w:val="28"/>
          <w:shd w:fill="auto" w:val="clear"/>
        </w:rPr>
      </w:pPr>
    </w:p>
    <w:p>
      <w:pPr>
        <w:spacing w:before="0" w:after="120" w:line="240"/>
        <w:ind w:right="-3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30" w:left="0" w:firstLine="0"/>
        <w:jc w:val="left"/>
        <w:rPr>
          <w:rFonts w:ascii="Times New Roman" w:hAnsi="Times New Roman" w:cs="Times New Roman" w:eastAsia="Times New Roman"/>
          <w:color w:val="auto"/>
          <w:spacing w:val="0"/>
          <w:position w:val="0"/>
          <w:sz w:val="24"/>
          <w:shd w:fill="auto" w:val="clear"/>
        </w:rPr>
      </w:pPr>
    </w:p>
    <w:p>
      <w:pPr>
        <w:tabs>
          <w:tab w:val="left" w:pos="7088" w:leader="none"/>
        </w:tabs>
        <w:spacing w:before="0" w:after="0" w:line="240"/>
        <w:ind w:right="46" w:left="6379" w:hanging="652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Міський голова                                                                           Веліна ЗАЯЦЬ</w:t>
      </w:r>
    </w:p>
    <w:p>
      <w:pPr>
        <w:spacing w:before="0" w:after="160" w:line="256"/>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623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Додаток</w:t>
      </w:r>
    </w:p>
    <w:p>
      <w:pPr>
        <w:spacing w:before="0" w:after="0" w:line="240"/>
        <w:ind w:right="0" w:left="0" w:firstLine="623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рішення виконавчого</w:t>
      </w:r>
    </w:p>
    <w:p>
      <w:pPr>
        <w:spacing w:before="0" w:after="0" w:line="240"/>
        <w:ind w:right="0" w:left="0" w:firstLine="623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комітету</w:t>
      </w:r>
    </w:p>
    <w:p>
      <w:pPr>
        <w:spacing w:before="0" w:after="0" w:line="240"/>
        <w:ind w:right="0" w:left="0" w:firstLine="623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23.02 2021  р.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6237"/>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center"/>
        <w:rPr>
          <w:rFonts w:ascii="Times New Roman CYR" w:hAnsi="Times New Roman CYR" w:cs="Times New Roman CYR" w:eastAsia="Times New Roman CYR"/>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ПОЯСНЮВАЛЬНА</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ЗАПИСКА</w:t>
      </w:r>
    </w:p>
    <w:p>
      <w:pPr>
        <w:spacing w:before="0" w:after="160" w:line="259"/>
        <w:ind w:right="0" w:left="0" w:firstLine="0"/>
        <w:jc w:val="center"/>
        <w:rPr>
          <w:rFonts w:ascii="Times New Roman CYR" w:hAnsi="Times New Roman CYR" w:cs="Times New Roman CYR" w:eastAsia="Times New Roman CYR"/>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звіту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про</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виконання</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бюджету</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Дунаєвецької</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міської</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ради</w:t>
      </w:r>
      <w:r>
        <w:rPr>
          <w:rFonts w:ascii="Times New Roman CYR" w:hAnsi="Times New Roman CYR" w:cs="Times New Roman CYR" w:eastAsia="Times New Roman CYR"/>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за</w:t>
      </w:r>
      <w:r>
        <w:rPr>
          <w:rFonts w:ascii="Times New Roman CYR" w:hAnsi="Times New Roman CYR" w:cs="Times New Roman CYR" w:eastAsia="Times New Roman CYR"/>
          <w:b/>
          <w:color w:val="auto"/>
          <w:spacing w:val="0"/>
          <w:position w:val="0"/>
          <w:sz w:val="22"/>
          <w:shd w:fill="auto" w:val="clear"/>
        </w:rPr>
        <w:t xml:space="preserve"> 2020 </w:t>
      </w:r>
      <w:r>
        <w:rPr>
          <w:rFonts w:ascii="Calibri" w:hAnsi="Calibri" w:cs="Calibri" w:eastAsia="Calibri"/>
          <w:b/>
          <w:color w:val="auto"/>
          <w:spacing w:val="0"/>
          <w:position w:val="0"/>
          <w:sz w:val="22"/>
          <w:shd w:fill="auto" w:val="clear"/>
        </w:rPr>
        <w:t xml:space="preserve">рік</w:t>
      </w:r>
      <w:r>
        <w:rPr>
          <w:rFonts w:ascii="Times New Roman CYR" w:hAnsi="Times New Roman CYR" w:cs="Times New Roman CYR" w:eastAsia="Times New Roman CYR"/>
          <w:b/>
          <w:color w:val="auto"/>
          <w:spacing w:val="0"/>
          <w:position w:val="0"/>
          <w:sz w:val="22"/>
          <w:shd w:fill="auto" w:val="clear"/>
        </w:rPr>
        <w:t xml:space="preserve">.</w:t>
      </w:r>
    </w:p>
    <w:p>
      <w:pPr>
        <w:spacing w:before="0" w:after="160" w:line="259"/>
        <w:ind w:right="0" w:left="0" w:firstLine="0"/>
        <w:jc w:val="center"/>
        <w:rPr>
          <w:rFonts w:ascii="Times New Roman CYR" w:hAnsi="Times New Roman CYR" w:cs="Times New Roman CYR" w:eastAsia="Times New Roman CYR"/>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І</w:t>
      </w:r>
      <w:r>
        <w:rPr>
          <w:rFonts w:ascii="Times New Roman CYR" w:hAnsi="Times New Roman CYR" w:cs="Times New Roman CYR" w:eastAsia="Times New Roman CYR"/>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auto" w:val="clear"/>
        </w:rPr>
        <w:t xml:space="preserve">Загальна</w:t>
      </w:r>
      <w:r>
        <w:rPr>
          <w:rFonts w:ascii="Times New Roman CYR" w:hAnsi="Times New Roman CYR" w:cs="Times New Roman CYR" w:eastAsia="Times New Roman CYR"/>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auto" w:val="clear"/>
        </w:rPr>
        <w:t xml:space="preserve">характеристика</w:t>
      </w:r>
      <w:r>
        <w:rPr>
          <w:rFonts w:ascii="Times New Roman CYR" w:hAnsi="Times New Roman CYR" w:cs="Times New Roman CYR" w:eastAsia="Times New Roman CYR"/>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auto" w:val="clear"/>
        </w:rPr>
        <w:t xml:space="preserve">виконання</w:t>
      </w:r>
      <w:r>
        <w:rPr>
          <w:rFonts w:ascii="Times New Roman CYR" w:hAnsi="Times New Roman CYR" w:cs="Times New Roman CYR" w:eastAsia="Times New Roman CYR"/>
          <w:b/>
          <w:color w:val="auto"/>
          <w:spacing w:val="0"/>
          <w:position w:val="0"/>
          <w:sz w:val="22"/>
          <w:u w:val="single"/>
          <w:shd w:fill="auto" w:val="clear"/>
        </w:rPr>
        <w:t xml:space="preserve">  </w:t>
      </w:r>
      <w:r>
        <w:rPr>
          <w:rFonts w:ascii="Calibri" w:hAnsi="Calibri" w:cs="Calibri" w:eastAsia="Calibri"/>
          <w:b/>
          <w:color w:val="auto"/>
          <w:spacing w:val="0"/>
          <w:position w:val="0"/>
          <w:sz w:val="22"/>
          <w:u w:val="single"/>
          <w:shd w:fill="auto" w:val="clear"/>
        </w:rPr>
        <w:t xml:space="preserve">бюджету</w:t>
      </w:r>
    </w:p>
    <w:p>
      <w:pPr>
        <w:spacing w:before="0" w:after="12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Міський бюджет на 2020 рік затверджений рішенням 63 (позачергової) сесії міської ради від 20.12.2019р.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5-63/2019., </w:t>
      </w:r>
      <w:r>
        <w:rPr>
          <w:rFonts w:ascii="Times New Roman" w:hAnsi="Times New Roman" w:cs="Times New Roman" w:eastAsia="Times New Roman"/>
          <w:color w:val="auto"/>
          <w:spacing w:val="0"/>
          <w:position w:val="0"/>
          <w:sz w:val="24"/>
          <w:shd w:fill="auto" w:val="clear"/>
        </w:rPr>
        <w:t xml:space="preserve">згідно якого доходи та видатки міського бюджету визначені в сумі 233 634,1 тис.грн. в тому числі загальний фонд -  228 418,2 тис.грн., спеціальний фонд -   5 215,9 тис.грн.  </w:t>
      </w:r>
    </w:p>
    <w:p>
      <w:pPr>
        <w:tabs>
          <w:tab w:val="left" w:pos="345" w:leader="none"/>
          <w:tab w:val="left" w:pos="1350" w:leader="none"/>
          <w:tab w:val="right" w:pos="8267" w:leader="none"/>
          <w:tab w:val="right" w:pos="9404" w:leader="none"/>
          <w:tab w:val="right" w:pos="10710" w:leader="none"/>
        </w:tabs>
        <w:spacing w:before="18" w:after="16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Доходи та видатки міського бюджету протягом року збільшені  на  12 094,0 тис.грн., в тому числі:</w:t>
      </w:r>
    </w:p>
    <w:p>
      <w:pPr>
        <w:numPr>
          <w:ilvl w:val="0"/>
          <w:numId w:val="20"/>
        </w:numPr>
        <w:tabs>
          <w:tab w:val="left" w:pos="284" w:leader="none"/>
          <w:tab w:val="right" w:pos="8267" w:leader="none"/>
          <w:tab w:val="right" w:pos="9404" w:leader="none"/>
          <w:tab w:val="right" w:pos="10710" w:leader="none"/>
        </w:tabs>
        <w:spacing w:before="18" w:after="0" w:line="276"/>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рахунок перевиконання власних доходів відповідно до статті 78 Бюджетного кодексу України  - 4 918,9 тис.грн., з них  доходи загального фонду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3 943,0 </w:t>
      </w:r>
      <w:r>
        <w:rPr>
          <w:rFonts w:ascii="Times New Roman" w:hAnsi="Times New Roman" w:cs="Times New Roman" w:eastAsia="Times New Roman"/>
          <w:color w:val="auto"/>
          <w:spacing w:val="0"/>
          <w:position w:val="0"/>
          <w:sz w:val="24"/>
          <w:shd w:fill="auto" w:val="clear"/>
        </w:rPr>
        <w:t xml:space="preserve">тис.грн., спеціального фонду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975,9 </w:t>
      </w:r>
      <w:r>
        <w:rPr>
          <w:rFonts w:ascii="Times New Roman" w:hAnsi="Times New Roman" w:cs="Times New Roman" w:eastAsia="Times New Roman"/>
          <w:color w:val="auto"/>
          <w:spacing w:val="0"/>
          <w:position w:val="0"/>
          <w:sz w:val="24"/>
          <w:shd w:fill="auto" w:val="clear"/>
        </w:rPr>
        <w:t xml:space="preserve">тис.грн.;</w:t>
      </w:r>
    </w:p>
    <w:p>
      <w:pPr>
        <w:numPr>
          <w:ilvl w:val="0"/>
          <w:numId w:val="20"/>
        </w:numPr>
        <w:tabs>
          <w:tab w:val="left" w:pos="284" w:leader="none"/>
          <w:tab w:val="right" w:pos="8267" w:leader="none"/>
          <w:tab w:val="right" w:pos="9404" w:leader="none"/>
          <w:tab w:val="right" w:pos="10710" w:leader="none"/>
        </w:tabs>
        <w:spacing w:before="18" w:after="0" w:line="276"/>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суму отриманої з державного бюджету освітньої субвенції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270,2 </w:t>
      </w:r>
      <w:r>
        <w:rPr>
          <w:rFonts w:ascii="Times New Roman" w:hAnsi="Times New Roman" w:cs="Times New Roman" w:eastAsia="Times New Roman"/>
          <w:color w:val="auto"/>
          <w:spacing w:val="0"/>
          <w:position w:val="0"/>
          <w:sz w:val="24"/>
          <w:shd w:fill="auto" w:val="clear"/>
        </w:rPr>
        <w:t xml:space="preserve">тис.грн.</w:t>
      </w:r>
    </w:p>
    <w:p>
      <w:pPr>
        <w:numPr>
          <w:ilvl w:val="0"/>
          <w:numId w:val="20"/>
        </w:numPr>
        <w:tabs>
          <w:tab w:val="left" w:pos="284" w:leader="none"/>
          <w:tab w:val="right" w:pos="8267" w:leader="none"/>
          <w:tab w:val="right" w:pos="9404" w:leader="none"/>
          <w:tab w:val="right" w:pos="10710" w:leader="none"/>
        </w:tabs>
        <w:spacing w:before="18" w:after="0" w:line="276"/>
        <w:ind w:right="0" w:left="284" w:hanging="284"/>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суми отриманих внутрішніх міжбюджетних трансфертів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904,9 </w:t>
      </w:r>
      <w:r>
        <w:rPr>
          <w:rFonts w:ascii="Times New Roman" w:hAnsi="Times New Roman" w:cs="Times New Roman" w:eastAsia="Times New Roman"/>
          <w:color w:val="auto"/>
          <w:spacing w:val="0"/>
          <w:position w:val="0"/>
          <w:sz w:val="24"/>
          <w:shd w:fill="auto" w:val="clear"/>
        </w:rPr>
        <w:t xml:space="preserve">тис.грн., з них с</w:t>
      </w:r>
      <w:r>
        <w:rPr>
          <w:rFonts w:ascii="Times New Roman" w:hAnsi="Times New Roman" w:cs="Times New Roman" w:eastAsia="Times New Roman"/>
          <w:color w:val="000000"/>
          <w:spacing w:val="0"/>
          <w:position w:val="0"/>
          <w:sz w:val="24"/>
          <w:shd w:fill="auto" w:val="clear"/>
        </w:rPr>
        <w:t xml:space="preserve">убвенція з обласного бюджету за рахунок залишку коштів освітньої субвенції, що утворився на початок бюджетного періоду</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309,2 </w:t>
      </w:r>
      <w:r>
        <w:rPr>
          <w:rFonts w:ascii="Times New Roman" w:hAnsi="Times New Roman" w:cs="Times New Roman" w:eastAsia="Times New Roman"/>
          <w:color w:val="auto"/>
          <w:spacing w:val="0"/>
          <w:position w:val="0"/>
          <w:sz w:val="24"/>
          <w:shd w:fill="auto" w:val="clear"/>
        </w:rPr>
        <w:t xml:space="preserve">тис.грн.,</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субвенція з обласного бюджету на надання державної підтримки особам з особливими освітніми потребами за рахунок відповідної субвенції з державного бюджету</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16,8 </w:t>
      </w:r>
      <w:r>
        <w:rPr>
          <w:rFonts w:ascii="Times New Roman" w:hAnsi="Times New Roman" w:cs="Times New Roman" w:eastAsia="Times New Roman"/>
          <w:color w:val="auto"/>
          <w:spacing w:val="0"/>
          <w:position w:val="0"/>
          <w:sz w:val="24"/>
          <w:shd w:fill="auto" w:val="clear"/>
        </w:rPr>
        <w:t xml:space="preserve">тис.грн.,</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субвенція з обласного бюджету на забезпечення якісної, сучасної та доступної загальної середньої освіти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Нова українська школа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рахунок відповідної субвенції з державного бюджету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835,7 </w:t>
      </w:r>
      <w:r>
        <w:rPr>
          <w:rFonts w:ascii="Times New Roman" w:hAnsi="Times New Roman" w:cs="Times New Roman" w:eastAsia="Times New Roman"/>
          <w:color w:val="auto"/>
          <w:spacing w:val="0"/>
          <w:position w:val="0"/>
          <w:sz w:val="24"/>
          <w:shd w:fill="auto" w:val="clear"/>
        </w:rPr>
        <w:t xml:space="preserve">тис.грн., </w:t>
      </w:r>
      <w:r>
        <w:rPr>
          <w:rFonts w:ascii="Times New Roman" w:hAnsi="Times New Roman" w:cs="Times New Roman" w:eastAsia="Times New Roman"/>
          <w:color w:val="000000"/>
          <w:spacing w:val="0"/>
          <w:position w:val="0"/>
          <w:sz w:val="24"/>
          <w:shd w:fill="auto" w:val="clear"/>
        </w:rPr>
        <w:t xml:space="preserve">субвенція з обласного бюджету на проведення виборів депутатів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місцевих рад та сільських, селищних, міських голів, за рахунок відповідної субвенції з державного бюджету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058,6 </w:t>
      </w:r>
      <w:r>
        <w:rPr>
          <w:rFonts w:ascii="Times New Roman" w:hAnsi="Times New Roman" w:cs="Times New Roman" w:eastAsia="Times New Roman"/>
          <w:color w:val="auto"/>
          <w:spacing w:val="0"/>
          <w:position w:val="0"/>
          <w:sz w:val="24"/>
          <w:shd w:fill="auto" w:val="clear"/>
        </w:rPr>
        <w:t xml:space="preserve">тис.грн., інші субвенції з Дунаєвецького і Смотрицького селищних та Маківського сільського бюджетів -   684,6 тис.грн.</w:t>
      </w:r>
      <w:r>
        <w:rPr>
          <w:rFonts w:ascii="Times New Roman" w:hAnsi="Times New Roman" w:cs="Times New Roman" w:eastAsia="Times New Roman"/>
          <w:color w:val="FF0000"/>
          <w:spacing w:val="0"/>
          <w:position w:val="0"/>
          <w:sz w:val="24"/>
          <w:shd w:fill="auto" w:val="clear"/>
        </w:rPr>
        <w:t xml:space="preserve"> </w:t>
      </w:r>
    </w:p>
    <w:p>
      <w:pPr>
        <w:tabs>
          <w:tab w:val="right" w:pos="8267" w:leader="none"/>
          <w:tab w:val="right" w:pos="12616" w:leader="none"/>
          <w:tab w:val="right" w:pos="16727" w:leader="none"/>
        </w:tabs>
        <w:spacing w:before="18"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Крім того план по видатках збільшено на 16 122,1 тис.грн. за рахунок вільних лишків, які утворилися в міському бюджеті станом на 01.01.2020 року.</w:t>
      </w:r>
    </w:p>
    <w:p>
      <w:pPr>
        <w:spacing w:before="0" w:after="12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Враховуючи вищезазначені зміни, річний план доходів становить  245 728,1 тис.грн. в т.ч. загальний фонд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239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227,1 </w:t>
      </w:r>
      <w:r>
        <w:rPr>
          <w:rFonts w:ascii="Times New Roman" w:hAnsi="Times New Roman" w:cs="Times New Roman" w:eastAsia="Times New Roman"/>
          <w:color w:val="auto"/>
          <w:spacing w:val="0"/>
          <w:position w:val="0"/>
          <w:sz w:val="24"/>
          <w:shd w:fill="auto" w:val="clear"/>
        </w:rPr>
        <w:t xml:space="preserve">тис.грн., спеціальний фонд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501,0 </w:t>
      </w:r>
      <w:r>
        <w:rPr>
          <w:rFonts w:ascii="Times New Roman" w:hAnsi="Times New Roman" w:cs="Times New Roman" w:eastAsia="Times New Roman"/>
          <w:color w:val="auto"/>
          <w:spacing w:val="0"/>
          <w:position w:val="0"/>
          <w:sz w:val="24"/>
          <w:shd w:fill="auto" w:val="clear"/>
        </w:rPr>
        <w:t xml:space="preserve">тис.грн. Затверджений уточнений план по видатках становить 261 850,2 тис.грн., в т.ч. загальний фонд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242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256,5 </w:t>
      </w:r>
      <w:r>
        <w:rPr>
          <w:rFonts w:ascii="Times New Roman" w:hAnsi="Times New Roman" w:cs="Times New Roman" w:eastAsia="Times New Roman"/>
          <w:color w:val="auto"/>
          <w:spacing w:val="0"/>
          <w:position w:val="0"/>
          <w:sz w:val="24"/>
          <w:shd w:fill="auto" w:val="clear"/>
        </w:rPr>
        <w:t xml:space="preserve">тис.грн., спеціальний фонд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593,8  </w:t>
      </w:r>
      <w:r>
        <w:rPr>
          <w:rFonts w:ascii="Times New Roman" w:hAnsi="Times New Roman" w:cs="Times New Roman" w:eastAsia="Times New Roman"/>
          <w:color w:val="auto"/>
          <w:spacing w:val="0"/>
          <w:position w:val="0"/>
          <w:sz w:val="24"/>
          <w:shd w:fill="auto" w:val="clear"/>
        </w:rPr>
        <w:t xml:space="preserve">тис.грн.</w:t>
      </w:r>
    </w:p>
    <w:p>
      <w:pPr>
        <w:tabs>
          <w:tab w:val="left" w:pos="720" w:leader="none"/>
        </w:tabs>
        <w:spacing w:before="0" w:after="16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2020 рік до загального фонду бюджету Дунаєвецької міської ради  надійшло  243 020,0 тис.грн. доходів - це 101,6% або +3 792,9 тис.грн. до уточненого річного плану.</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Доходів спеціального фонду разом із трансфертами  отримано 6 331,1 тис.грн. або 97,4%  до уточнених  річних призначень. </w:t>
      </w:r>
    </w:p>
    <w:p>
      <w:pPr>
        <w:spacing w:before="0" w:after="160" w:line="276"/>
        <w:ind w:right="0" w:left="0" w:firstLine="708"/>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Видаткова частина загального фонду міського бюджету виконана на 95,5%  до уточнених річних призначень: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242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256,5 </w:t>
      </w:r>
      <w:r>
        <w:rPr>
          <w:rFonts w:ascii="Times New Roman" w:hAnsi="Times New Roman" w:cs="Times New Roman" w:eastAsia="Times New Roman"/>
          <w:color w:val="auto"/>
          <w:spacing w:val="0"/>
          <w:position w:val="0"/>
          <w:sz w:val="24"/>
          <w:shd w:fill="auto" w:val="clear"/>
        </w:rPr>
        <w:t xml:space="preserve">тис.грн.,  касові видатки -  231 349,9 тис.грн..</w:t>
      </w:r>
      <w:r>
        <w:rPr>
          <w:rFonts w:ascii="Times New Roman" w:hAnsi="Times New Roman" w:cs="Times New Roman" w:eastAsia="Times New Roman"/>
          <w:color w:val="FF0000"/>
          <w:spacing w:val="0"/>
          <w:position w:val="0"/>
          <w:sz w:val="24"/>
          <w:shd w:fill="auto" w:val="clear"/>
        </w:rPr>
        <w:t xml:space="preserve"> </w:t>
      </w:r>
    </w:p>
    <w:p>
      <w:pPr>
        <w:tabs>
          <w:tab w:val="left" w:pos="0"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першочерговому порядку проводилося фінансування захищених видатків бюджету:</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заробітну плату з нарахуваннями спрямовано  169 751,7 тис.грн., оплату комунальних послуг та енергоносіїв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573,1 </w:t>
      </w:r>
      <w:r>
        <w:rPr>
          <w:rFonts w:ascii="Times New Roman" w:hAnsi="Times New Roman" w:cs="Times New Roman" w:eastAsia="Times New Roman"/>
          <w:color w:val="auto"/>
          <w:spacing w:val="0"/>
          <w:position w:val="0"/>
          <w:sz w:val="24"/>
          <w:shd w:fill="auto" w:val="clear"/>
        </w:rPr>
        <w:t xml:space="preserve">тис.грн., продукти харчування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2,7637,0 </w:t>
      </w:r>
      <w:r>
        <w:rPr>
          <w:rFonts w:ascii="Times New Roman" w:hAnsi="Times New Roman" w:cs="Times New Roman" w:eastAsia="Times New Roman"/>
          <w:color w:val="auto"/>
          <w:spacing w:val="0"/>
          <w:position w:val="0"/>
          <w:sz w:val="24"/>
          <w:shd w:fill="auto" w:val="clear"/>
        </w:rPr>
        <w:t xml:space="preserve">тис.грн., інші виплати населенню (допомоги, стипендії)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045,0 </w:t>
      </w:r>
      <w:r>
        <w:rPr>
          <w:rFonts w:ascii="Times New Roman" w:hAnsi="Times New Roman" w:cs="Times New Roman" w:eastAsia="Times New Roman"/>
          <w:color w:val="auto"/>
          <w:spacing w:val="0"/>
          <w:position w:val="0"/>
          <w:sz w:val="24"/>
          <w:shd w:fill="auto" w:val="clear"/>
        </w:rPr>
        <w:t xml:space="preserve">тис.грн. і т.д.  Заробітна плата виплачена повністю, спожиті енергоносії оплачені в повному обсязі.</w:t>
      </w:r>
    </w:p>
    <w:p>
      <w:pPr>
        <w:spacing w:before="0" w:after="160" w:line="259"/>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01.01.2021 року заборгованість по захищених  видатках відсутня.</w:t>
      </w:r>
    </w:p>
    <w:p>
      <w:pPr>
        <w:tabs>
          <w:tab w:val="left" w:pos="851" w:leader="none"/>
        </w:tabs>
        <w:spacing w:before="0" w:after="160" w:line="276"/>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ІІ. Підсумки виконання дохідної частини міського бюджету.</w:t>
      </w:r>
    </w:p>
    <w:p>
      <w:pPr>
        <w:spacing w:before="0" w:after="12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Уточнений план дохідної частини бюджету Дунаєвецької міської ради на 2020 рік складає</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245 728,1 тис.грн. в т.ч. загальний фонд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239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227,1 </w:t>
      </w:r>
      <w:r>
        <w:rPr>
          <w:rFonts w:ascii="Times New Roman" w:hAnsi="Times New Roman" w:cs="Times New Roman" w:eastAsia="Times New Roman"/>
          <w:color w:val="auto"/>
          <w:spacing w:val="0"/>
          <w:position w:val="0"/>
          <w:sz w:val="24"/>
          <w:shd w:fill="auto" w:val="clear"/>
        </w:rPr>
        <w:t xml:space="preserve">тис.грн., спеціальний фонд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501,0 </w:t>
      </w:r>
      <w:r>
        <w:rPr>
          <w:rFonts w:ascii="Times New Roman" w:hAnsi="Times New Roman" w:cs="Times New Roman" w:eastAsia="Times New Roman"/>
          <w:color w:val="auto"/>
          <w:spacing w:val="0"/>
          <w:position w:val="0"/>
          <w:sz w:val="24"/>
          <w:shd w:fill="auto" w:val="clear"/>
        </w:rPr>
        <w:t xml:space="preserve">тис.грн. За  2020 рік до загального фонду міського бюджету надійшло  243 020,0 тис.грн. доходів - це 101,6% або +3 792,9 тис.грн. до уточненого річного плану. </w:t>
      </w:r>
    </w:p>
    <w:p>
      <w:pPr>
        <w:spacing w:before="0" w:after="12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Міжбюджетних трансфертів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загального фонду</w:t>
      </w:r>
      <w:r>
        <w:rPr>
          <w:rFonts w:ascii="Times New Roman" w:hAnsi="Times New Roman" w:cs="Times New Roman" w:eastAsia="Times New Roman"/>
          <w:color w:val="auto"/>
          <w:spacing w:val="0"/>
          <w:position w:val="0"/>
          <w:sz w:val="24"/>
          <w:shd w:fill="auto" w:val="clear"/>
        </w:rPr>
        <w:t xml:space="preserve"> отримано </w:t>
      </w:r>
      <w:r>
        <w:rPr>
          <w:rFonts w:ascii="Times New Roman" w:hAnsi="Times New Roman" w:cs="Times New Roman" w:eastAsia="Times New Roman"/>
          <w:b/>
          <w:color w:val="auto"/>
          <w:spacing w:val="0"/>
          <w:position w:val="0"/>
          <w:sz w:val="24"/>
          <w:shd w:fill="auto" w:val="clear"/>
        </w:rPr>
        <w:t xml:space="preserve">114 538,6 тис.грн., </w:t>
      </w:r>
      <w:r>
        <w:rPr>
          <w:rFonts w:ascii="Times New Roman" w:hAnsi="Times New Roman" w:cs="Times New Roman" w:eastAsia="Times New Roman"/>
          <w:color w:val="auto"/>
          <w:spacing w:val="0"/>
          <w:position w:val="0"/>
          <w:sz w:val="24"/>
          <w:shd w:fill="auto" w:val="clear"/>
        </w:rPr>
        <w:t xml:space="preserve">з них:</w:t>
      </w:r>
    </w:p>
    <w:p>
      <w:pPr>
        <w:numPr>
          <w:ilvl w:val="0"/>
          <w:numId w:val="29"/>
        </w:numPr>
        <w:tabs>
          <w:tab w:val="left" w:pos="1710" w:leader="none"/>
          <w:tab w:val="left" w:pos="567"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Базова дотація</w:t>
      </w:r>
      <w:r>
        <w:rPr>
          <w:rFonts w:ascii="Times New Roman" w:hAnsi="Times New Roman" w:cs="Times New Roman" w:eastAsia="Times New Roman"/>
          <w:color w:val="auto"/>
          <w:spacing w:val="0"/>
          <w:position w:val="0"/>
          <w:sz w:val="24"/>
          <w:shd w:fill="auto" w:val="clear"/>
        </w:rPr>
        <w:t xml:space="preserve"> (41020100)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142,7 </w:t>
      </w:r>
      <w:r>
        <w:rPr>
          <w:rFonts w:ascii="Times New Roman" w:hAnsi="Times New Roman" w:cs="Times New Roman" w:eastAsia="Times New Roman"/>
          <w:b/>
          <w:color w:val="auto"/>
          <w:spacing w:val="0"/>
          <w:position w:val="0"/>
          <w:sz w:val="24"/>
          <w:shd w:fill="auto" w:val="clear"/>
        </w:rPr>
        <w:t xml:space="preserve">тис.грн.</w:t>
      </w:r>
    </w:p>
    <w:p>
      <w:pPr>
        <w:numPr>
          <w:ilvl w:val="0"/>
          <w:numId w:val="29"/>
        </w:numPr>
        <w:tabs>
          <w:tab w:val="left" w:pos="1710" w:leader="none"/>
          <w:tab w:val="left" w:pos="567"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Освітня субвенція</w:t>
      </w:r>
      <w:r>
        <w:rPr>
          <w:rFonts w:ascii="Times New Roman" w:hAnsi="Times New Roman" w:cs="Times New Roman" w:eastAsia="Times New Roman"/>
          <w:color w:val="auto"/>
          <w:spacing w:val="0"/>
          <w:position w:val="0"/>
          <w:sz w:val="24"/>
          <w:shd w:fill="auto" w:val="clear"/>
        </w:rPr>
        <w:t xml:space="preserve"> з державного бюджету місцевим бюджетам (41033900)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73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403,0 </w:t>
      </w:r>
      <w:r>
        <w:rPr>
          <w:rFonts w:ascii="Times New Roman" w:hAnsi="Times New Roman" w:cs="Times New Roman" w:eastAsia="Times New Roman"/>
          <w:b/>
          <w:color w:val="auto"/>
          <w:spacing w:val="0"/>
          <w:position w:val="0"/>
          <w:sz w:val="24"/>
          <w:shd w:fill="auto" w:val="clear"/>
        </w:rPr>
        <w:t xml:space="preserve">тис.грн</w:t>
      </w:r>
      <w:r>
        <w:rPr>
          <w:rFonts w:ascii="Times New Roman" w:hAnsi="Times New Roman" w:cs="Times New Roman" w:eastAsia="Times New Roman"/>
          <w:color w:val="auto"/>
          <w:spacing w:val="0"/>
          <w:position w:val="0"/>
          <w:sz w:val="24"/>
          <w:shd w:fill="auto" w:val="clear"/>
        </w:rPr>
        <w:t xml:space="preserve">; </w:t>
      </w:r>
    </w:p>
    <w:p>
      <w:pPr>
        <w:numPr>
          <w:ilvl w:val="0"/>
          <w:numId w:val="29"/>
        </w:numPr>
        <w:tabs>
          <w:tab w:val="left" w:pos="1710" w:leader="none"/>
          <w:tab w:val="left" w:pos="567"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Медична субвенція</w:t>
      </w:r>
      <w:r>
        <w:rPr>
          <w:rFonts w:ascii="Times New Roman" w:hAnsi="Times New Roman" w:cs="Times New Roman" w:eastAsia="Times New Roman"/>
          <w:color w:val="auto"/>
          <w:spacing w:val="0"/>
          <w:position w:val="0"/>
          <w:sz w:val="24"/>
          <w:shd w:fill="auto" w:val="clear"/>
        </w:rPr>
        <w:t xml:space="preserve"> з державного бюджету місцевим бюджетам (41034200)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818,2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тис.грн.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субвенція, яка передається районному бюджету на утримання 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Дунаєвецька ЦРЛ</w:t>
      </w:r>
      <w:r>
        <w:rPr>
          <w:rFonts w:ascii="Times New Roman" w:hAnsi="Times New Roman" w:cs="Times New Roman" w:eastAsia="Times New Roman"/>
          <w:color w:val="auto"/>
          <w:spacing w:val="0"/>
          <w:position w:val="0"/>
          <w:sz w:val="24"/>
          <w:shd w:fill="auto" w:val="clear"/>
        </w:rPr>
        <w:t xml:space="preserve">»; </w:t>
      </w:r>
    </w:p>
    <w:p>
      <w:pPr>
        <w:numPr>
          <w:ilvl w:val="0"/>
          <w:numId w:val="29"/>
        </w:numPr>
        <w:tabs>
          <w:tab w:val="left" w:pos="1710" w:leader="none"/>
          <w:tab w:val="left" w:pos="567"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Дотація</w:t>
      </w:r>
      <w:r>
        <w:rPr>
          <w:rFonts w:ascii="Times New Roman" w:hAnsi="Times New Roman" w:cs="Times New Roman" w:eastAsia="Times New Roman"/>
          <w:color w:val="auto"/>
          <w:spacing w:val="0"/>
          <w:position w:val="0"/>
          <w:sz w:val="24"/>
          <w:shd w:fill="auto" w:val="clear"/>
        </w:rPr>
        <w:t xml:space="preserve">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(41040200)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4509,4 </w:t>
      </w:r>
      <w:r>
        <w:rPr>
          <w:rFonts w:ascii="Times New Roman" w:hAnsi="Times New Roman" w:cs="Times New Roman" w:eastAsia="Times New Roman"/>
          <w:b/>
          <w:color w:val="auto"/>
          <w:spacing w:val="0"/>
          <w:position w:val="0"/>
          <w:sz w:val="24"/>
          <w:shd w:fill="auto" w:val="clear"/>
        </w:rPr>
        <w:t xml:space="preserve">тис.грн</w:t>
      </w:r>
      <w:r>
        <w:rPr>
          <w:rFonts w:ascii="Times New Roman" w:hAnsi="Times New Roman" w:cs="Times New Roman" w:eastAsia="Times New Roman"/>
          <w:color w:val="auto"/>
          <w:spacing w:val="0"/>
          <w:position w:val="0"/>
          <w:sz w:val="24"/>
          <w:shd w:fill="auto" w:val="clear"/>
        </w:rPr>
        <w:t xml:space="preserve">.:</w:t>
      </w:r>
    </w:p>
    <w:p>
      <w:pPr>
        <w:numPr>
          <w:ilvl w:val="0"/>
          <w:numId w:val="29"/>
        </w:numPr>
        <w:tabs>
          <w:tab w:val="left" w:pos="1710" w:leader="none"/>
          <w:tab w:val="left" w:pos="567"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Субвенції</w:t>
      </w:r>
      <w:r>
        <w:rPr>
          <w:rFonts w:ascii="Times New Roman" w:hAnsi="Times New Roman" w:cs="Times New Roman" w:eastAsia="Times New Roman"/>
          <w:color w:val="auto"/>
          <w:spacing w:val="0"/>
          <w:position w:val="0"/>
          <w:sz w:val="24"/>
          <w:shd w:fill="auto" w:val="clear"/>
        </w:rPr>
        <w:t xml:space="preserve"> з обласного бюджету </w:t>
      </w:r>
      <w:r>
        <w:rPr>
          <w:rFonts w:ascii="Times New Roman" w:hAnsi="Times New Roman" w:cs="Times New Roman" w:eastAsia="Times New Roman"/>
          <w:b/>
          <w:color w:val="auto"/>
          <w:spacing w:val="0"/>
          <w:position w:val="0"/>
          <w:sz w:val="24"/>
          <w:shd w:fill="auto" w:val="clear"/>
        </w:rPr>
        <w:t xml:space="preserve">на освітню галузь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961,4 </w:t>
      </w:r>
      <w:r>
        <w:rPr>
          <w:rFonts w:ascii="Times New Roman" w:hAnsi="Times New Roman" w:cs="Times New Roman" w:eastAsia="Times New Roman"/>
          <w:b/>
          <w:color w:val="auto"/>
          <w:spacing w:val="0"/>
          <w:position w:val="0"/>
          <w:sz w:val="24"/>
          <w:shd w:fill="auto" w:val="clear"/>
        </w:rPr>
        <w:t xml:space="preserve">тис.грн.,</w:t>
      </w:r>
      <w:r>
        <w:rPr>
          <w:rFonts w:ascii="Times New Roman" w:hAnsi="Times New Roman" w:cs="Times New Roman" w:eastAsia="Times New Roman"/>
          <w:color w:val="auto"/>
          <w:spacing w:val="0"/>
          <w:position w:val="0"/>
          <w:sz w:val="24"/>
          <w:shd w:fill="auto" w:val="clear"/>
        </w:rPr>
        <w:t xml:space="preserve"> в тому числі на здійснення переданих видатків у сфері освіти за рахунок коштів освітньої субвенції (41051000)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115,1 </w:t>
      </w:r>
      <w:r>
        <w:rPr>
          <w:rFonts w:ascii="Times New Roman" w:hAnsi="Times New Roman" w:cs="Times New Roman" w:eastAsia="Times New Roman"/>
          <w:color w:val="auto"/>
          <w:spacing w:val="0"/>
          <w:position w:val="0"/>
          <w:sz w:val="24"/>
          <w:shd w:fill="auto" w:val="clear"/>
        </w:rPr>
        <w:t xml:space="preserve">тис.грн., </w:t>
      </w:r>
      <w:r>
        <w:rPr>
          <w:rFonts w:ascii="Times New Roman" w:hAnsi="Times New Roman" w:cs="Times New Roman" w:eastAsia="Times New Roman"/>
          <w:color w:val="000000"/>
          <w:spacing w:val="0"/>
          <w:position w:val="0"/>
          <w:sz w:val="24"/>
          <w:shd w:fill="auto" w:val="clear"/>
        </w:rPr>
        <w:t xml:space="preserve">на надання державної підтримки особам з особливими освітніми потребами за рахунок відповідної субвенції з державного бюджету (41051200)</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13,1 </w:t>
      </w:r>
      <w:r>
        <w:rPr>
          <w:rFonts w:ascii="Times New Roman" w:hAnsi="Times New Roman" w:cs="Times New Roman" w:eastAsia="Times New Roman"/>
          <w:color w:val="auto"/>
          <w:spacing w:val="0"/>
          <w:position w:val="0"/>
          <w:sz w:val="24"/>
          <w:shd w:fill="auto" w:val="clear"/>
        </w:rPr>
        <w:t xml:space="preserve">тис.грн. на забезпечення якісної, сучасної та доступної загальної середньої освіти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Нова українська школа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рахунок відповідної субвенції з державного бюджету (41051400)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833,2 </w:t>
      </w:r>
      <w:r>
        <w:rPr>
          <w:rFonts w:ascii="Times New Roman" w:hAnsi="Times New Roman" w:cs="Times New Roman" w:eastAsia="Times New Roman"/>
          <w:color w:val="auto"/>
          <w:spacing w:val="0"/>
          <w:position w:val="0"/>
          <w:sz w:val="24"/>
          <w:shd w:fill="auto" w:val="clear"/>
        </w:rPr>
        <w:t xml:space="preserve">тис.грн., </w:t>
      </w:r>
    </w:p>
    <w:p>
      <w:pPr>
        <w:numPr>
          <w:ilvl w:val="0"/>
          <w:numId w:val="29"/>
        </w:numPr>
        <w:tabs>
          <w:tab w:val="left" w:pos="1710" w:leader="none"/>
          <w:tab w:val="left" w:pos="567" w:leader="none"/>
        </w:tabs>
        <w:spacing w:before="0" w:after="0" w:line="276"/>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Субвенція</w:t>
      </w:r>
      <w:r>
        <w:rPr>
          <w:rFonts w:ascii="Times New Roman" w:hAnsi="Times New Roman" w:cs="Times New Roman" w:eastAsia="Times New Roman"/>
          <w:color w:val="000000"/>
          <w:spacing w:val="0"/>
          <w:position w:val="0"/>
          <w:sz w:val="24"/>
          <w:shd w:fill="auto" w:val="clear"/>
        </w:rPr>
        <w:t xml:space="preserve"> з обласного бюджету на проведення виборів депутатів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місцевих рад та сільських, селищних, міських голів, за рахунок відповідної субвенції з державного бюджету</w:t>
      </w:r>
      <w:r>
        <w:rPr>
          <w:rFonts w:ascii="Times New Roman" w:hAnsi="Times New Roman" w:cs="Times New Roman" w:eastAsia="Times New Roman"/>
          <w:color w:val="auto"/>
          <w:spacing w:val="0"/>
          <w:position w:val="0"/>
          <w:sz w:val="24"/>
          <w:shd w:fill="auto" w:val="clear"/>
        </w:rPr>
        <w:t xml:space="preserve"> (41053000)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058,6 </w:t>
      </w:r>
      <w:r>
        <w:rPr>
          <w:rFonts w:ascii="Times New Roman" w:hAnsi="Times New Roman" w:cs="Times New Roman" w:eastAsia="Times New Roman"/>
          <w:b/>
          <w:color w:val="auto"/>
          <w:spacing w:val="0"/>
          <w:position w:val="0"/>
          <w:sz w:val="24"/>
          <w:shd w:fill="auto" w:val="clear"/>
        </w:rPr>
        <w:t xml:space="preserve">тис.грн.</w:t>
      </w:r>
    </w:p>
    <w:p>
      <w:pPr>
        <w:numPr>
          <w:ilvl w:val="0"/>
          <w:numId w:val="29"/>
        </w:numPr>
        <w:tabs>
          <w:tab w:val="left" w:pos="1710" w:leader="none"/>
          <w:tab w:val="left" w:pos="567"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Інші субвенції</w:t>
      </w:r>
      <w:r>
        <w:rPr>
          <w:rFonts w:ascii="Times New Roman" w:hAnsi="Times New Roman" w:cs="Times New Roman" w:eastAsia="Times New Roman"/>
          <w:color w:val="auto"/>
          <w:spacing w:val="0"/>
          <w:position w:val="0"/>
          <w:sz w:val="24"/>
          <w:shd w:fill="auto" w:val="clear"/>
        </w:rPr>
        <w:t xml:space="preserve"> з бюджетів ОТГ на утримання об’єктів спільного користування (41053900)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645,3 </w:t>
      </w:r>
      <w:r>
        <w:rPr>
          <w:rFonts w:ascii="Times New Roman" w:hAnsi="Times New Roman" w:cs="Times New Roman" w:eastAsia="Times New Roman"/>
          <w:b/>
          <w:color w:val="auto"/>
          <w:spacing w:val="0"/>
          <w:position w:val="0"/>
          <w:sz w:val="24"/>
          <w:shd w:fill="auto" w:val="clear"/>
        </w:rPr>
        <w:t xml:space="preserve">тис.грн.,</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тому числі отримані з Новодунаєвецького селищного бюджету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579,7 </w:t>
      </w:r>
      <w:r>
        <w:rPr>
          <w:rFonts w:ascii="Times New Roman" w:hAnsi="Times New Roman" w:cs="Times New Roman" w:eastAsia="Times New Roman"/>
          <w:color w:val="auto"/>
          <w:spacing w:val="0"/>
          <w:position w:val="0"/>
          <w:sz w:val="24"/>
          <w:shd w:fill="auto" w:val="clear"/>
        </w:rPr>
        <w:t xml:space="preserve">тис.грн., Маківського сільського бюджету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65,6 </w:t>
      </w:r>
      <w:r>
        <w:rPr>
          <w:rFonts w:ascii="Times New Roman" w:hAnsi="Times New Roman" w:cs="Times New Roman" w:eastAsia="Times New Roman"/>
          <w:color w:val="auto"/>
          <w:spacing w:val="0"/>
          <w:position w:val="0"/>
          <w:sz w:val="24"/>
          <w:shd w:fill="auto" w:val="clear"/>
        </w:rPr>
        <w:t xml:space="preserve">тис.грн.</w:t>
      </w:r>
    </w:p>
    <w:p>
      <w:pPr>
        <w:tabs>
          <w:tab w:val="left" w:pos="567" w:leader="none"/>
        </w:tabs>
        <w:spacing w:before="0" w:after="160" w:line="276"/>
        <w:ind w:right="0" w:left="1710" w:firstLine="0"/>
        <w:jc w:val="both"/>
        <w:rPr>
          <w:rFonts w:ascii="Times New Roman" w:hAnsi="Times New Roman" w:cs="Times New Roman" w:eastAsia="Times New Roman"/>
          <w:color w:val="FF0000"/>
          <w:spacing w:val="0"/>
          <w:position w:val="0"/>
          <w:sz w:val="24"/>
          <w:shd w:fill="auto" w:val="clear"/>
        </w:rPr>
      </w:pPr>
    </w:p>
    <w:p>
      <w:pPr>
        <w:spacing w:before="0" w:after="12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2020 рік до загального фонду Дунаєвецького міського бюджету надійшло 128 481,4 тис.грн. власних доходів, що на  3 838,4 тис.грн. більше від уточненого річного плану та на 13 999,0 тис.грн. -  від надходжень за 2019 рік. У відсотковому відношенні виконання планових показників дохідної частини становить 103,1%, ріст до минулого року склав 112,2%.  </w:t>
      </w:r>
    </w:p>
    <w:tbl>
      <w:tblPr/>
      <w:tblGrid>
        <w:gridCol w:w="10704"/>
        <w:gridCol w:w="1200"/>
      </w:tblGrid>
      <w:tr>
        <w:trPr>
          <w:trHeight w:val="360" w:hRule="auto"/>
          <w:jc w:val="left"/>
        </w:trPr>
        <w:tc>
          <w:tcPr>
            <w:tcW w:w="107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160" w:line="259"/>
              <w:ind w:right="0" w:left="0" w:firstLine="0"/>
              <w:jc w:val="center"/>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              </w:t>
            </w: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Надходження власних доходів, тис.грн.</w:t>
            </w:r>
          </w:p>
          <w:p>
            <w:pPr>
              <w:spacing w:before="0" w:after="160" w:line="259"/>
              <w:ind w:right="0" w:left="0" w:firstLine="0"/>
              <w:jc w:val="center"/>
              <w:rPr>
                <w:rFonts w:ascii="Times New Roman" w:hAnsi="Times New Roman" w:cs="Times New Roman" w:eastAsia="Times New Roman"/>
                <w:color w:val="FF0000"/>
                <w:spacing w:val="0"/>
                <w:position w:val="0"/>
                <w:sz w:val="24"/>
                <w:shd w:fill="auto" w:val="clear"/>
              </w:rPr>
            </w:pPr>
          </w:p>
          <w:tbl>
            <w:tblPr/>
            <w:tblGrid>
              <w:gridCol w:w="3503"/>
              <w:gridCol w:w="1134"/>
              <w:gridCol w:w="1063"/>
              <w:gridCol w:w="1060"/>
              <w:gridCol w:w="996"/>
              <w:gridCol w:w="709"/>
              <w:gridCol w:w="992"/>
              <w:gridCol w:w="992"/>
            </w:tblGrid>
            <w:tr>
              <w:trPr>
                <w:trHeight w:val="300" w:hRule="auto"/>
                <w:jc w:val="left"/>
              </w:trPr>
              <w:tc>
                <w:tcPr>
                  <w:tcW w:w="350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c>
                <w:tcPr>
                  <w:tcW w:w="113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фактично надійшло за 2019р.</w:t>
                  </w:r>
                </w:p>
              </w:tc>
              <w:tc>
                <w:tcPr>
                  <w:tcW w:w="106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план на  2020р.</w:t>
                  </w:r>
                </w:p>
              </w:tc>
              <w:tc>
                <w:tcPr>
                  <w:tcW w:w="10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фактично надійшло за 2020р.</w:t>
                  </w:r>
                </w:p>
              </w:tc>
              <w:tc>
                <w:tcPr>
                  <w:tcW w:w="1705"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 плану</w:t>
                  </w:r>
                </w:p>
              </w:tc>
              <w:tc>
                <w:tcPr>
                  <w:tcW w:w="1984"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 минулого року</w:t>
                  </w:r>
                </w:p>
              </w:tc>
            </w:tr>
            <w:tr>
              <w:trPr>
                <w:trHeight w:val="900" w:hRule="auto"/>
                <w:jc w:val="left"/>
              </w:trPr>
              <w:tc>
                <w:tcPr>
                  <w:tcW w:w="350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6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r>
            <w:tr>
              <w:trPr>
                <w:trHeight w:val="255"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Податок на доходи фізичних осіб</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68 447,0</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73 999,4</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75 313,6</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1 314,2</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101,8</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6 866,6</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110,0</w:t>
                  </w:r>
                </w:p>
              </w:tc>
            </w:tr>
            <w:tr>
              <w:trPr>
                <w:trHeight w:val="255"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Плата за землю </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13 756,6</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16 095,0</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17 173,4</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1 078,4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106,7</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3 416,8</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124,8</w:t>
                  </w:r>
                </w:p>
              </w:tc>
            </w:tr>
            <w:tr>
              <w:trPr>
                <w:trHeight w:val="255"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Єдиний податок </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20 482,9</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22 557,4</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22 508,2</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-49,2</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99,8</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2 025,3</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109,9</w:t>
                  </w:r>
                </w:p>
              </w:tc>
            </w:tr>
            <w:tr>
              <w:trPr>
                <w:trHeight w:val="255"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Акцизний податок</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4 941,5</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5 200,0</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5 716,9</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516,9</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109,9</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775,4</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115,7</w:t>
                  </w:r>
                </w:p>
              </w:tc>
            </w:tr>
            <w:tr>
              <w:trPr>
                <w:trHeight w:val="255"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Плата за надання  адміністративних послуг</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2 723,0</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2 787,0</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2 172,7</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-614,3</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78,0</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-550,3</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79,8</w:t>
                  </w:r>
                </w:p>
              </w:tc>
            </w:tr>
            <w:tr>
              <w:trPr>
                <w:trHeight w:val="510"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Податок на нерухоме майно, відмінне від зем.ділянки</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2 327,3</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2 511,2</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3 147,1</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635,9</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125,3</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819,8</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135,2</w:t>
                  </w:r>
                </w:p>
              </w:tc>
            </w:tr>
            <w:tr>
              <w:trPr>
                <w:trHeight w:val="255"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Адміністративні штрафи</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273,5</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272,0</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155,3</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-116,7</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57,1</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-118,2</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56,8</w:t>
                  </w:r>
                </w:p>
              </w:tc>
            </w:tr>
            <w:tr>
              <w:trPr>
                <w:trHeight w:val="255"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Інші надходження</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1 530,6</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1 221,0</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2 294,2</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1 073,2</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187,9</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763,6</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149,9</w:t>
                  </w:r>
                </w:p>
              </w:tc>
            </w:tr>
            <w:tr>
              <w:trPr>
                <w:trHeight w:val="255" w:hRule="auto"/>
                <w:jc w:val="left"/>
              </w:trPr>
              <w:tc>
                <w:tcPr>
                  <w:tcW w:w="35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РАЗОМ власних доходів</w:t>
                  </w:r>
                </w:p>
              </w:tc>
              <w:tc>
                <w:tcPr>
                  <w:tcW w:w="1134"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114 482,4</w:t>
                  </w:r>
                </w:p>
              </w:tc>
              <w:tc>
                <w:tcPr>
                  <w:tcW w:w="1063"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124 643,0</w:t>
                  </w:r>
                </w:p>
              </w:tc>
              <w:tc>
                <w:tcPr>
                  <w:tcW w:w="1060"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128 481,4</w:t>
                  </w:r>
                </w:p>
              </w:tc>
              <w:tc>
                <w:tcPr>
                  <w:tcW w:w="99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3 838,4</w:t>
                  </w:r>
                </w:p>
              </w:tc>
              <w:tc>
                <w:tcPr>
                  <w:tcW w:w="709"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103,1</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13 999,0</w:t>
                  </w:r>
                </w:p>
              </w:tc>
              <w:tc>
                <w:tcPr>
                  <w:tcW w:w="992"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112,2</w:t>
                  </w:r>
                </w:p>
              </w:tc>
            </w:tr>
          </w:tbl>
          <w:p>
            <w:pPr>
              <w:spacing w:before="0" w:after="0" w:line="240"/>
              <w:ind w:right="0" w:left="0" w:firstLine="0"/>
              <w:jc w:val="left"/>
              <w:rPr>
                <w:spacing w:val="0"/>
                <w:position w:val="0"/>
                <w:shd w:fill="auto" w:val="clear"/>
              </w:rPr>
            </w:pPr>
          </w:p>
        </w:tc>
        <w:tc>
          <w:tcPr>
            <w:tcW w:w="12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160" w:line="259"/>
              <w:ind w:right="0" w:left="0" w:firstLine="0"/>
              <w:jc w:val="center"/>
              <w:rPr>
                <w:rFonts w:ascii="Calibri" w:hAnsi="Calibri" w:cs="Calibri" w:eastAsia="Calibri"/>
                <w:color w:val="auto"/>
                <w:spacing w:val="0"/>
                <w:position w:val="0"/>
                <w:sz w:val="22"/>
                <w:shd w:fill="auto" w:val="clear"/>
              </w:rPr>
            </w:pPr>
          </w:p>
        </w:tc>
      </w:tr>
    </w:tbl>
    <w:p>
      <w:pPr>
        <w:spacing w:before="0" w:after="160" w:line="276"/>
        <w:ind w:right="0" w:left="0" w:firstLine="708"/>
        <w:jc w:val="both"/>
        <w:rPr>
          <w:rFonts w:ascii="Times New Roman" w:hAnsi="Times New Roman" w:cs="Times New Roman" w:eastAsia="Times New Roman"/>
          <w:color w:val="FF0000"/>
          <w:spacing w:val="0"/>
          <w:position w:val="0"/>
          <w:sz w:val="24"/>
          <w:shd w:fill="auto" w:val="clear"/>
        </w:rPr>
      </w:pP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Головний бюджетоформуючий податок -</w:t>
      </w:r>
      <w:r>
        <w:rPr>
          <w:rFonts w:ascii="Times New Roman" w:hAnsi="Times New Roman" w:cs="Times New Roman" w:eastAsia="Times New Roman"/>
          <w:b/>
          <w:i/>
          <w:color w:val="auto"/>
          <w:spacing w:val="0"/>
          <w:position w:val="0"/>
          <w:sz w:val="24"/>
          <w:shd w:fill="auto" w:val="clear"/>
        </w:rPr>
        <w:t xml:space="preserve"> на доходи фізичних осіб</w:t>
      </w:r>
      <w:r>
        <w:rPr>
          <w:rFonts w:ascii="Times New Roman" w:hAnsi="Times New Roman" w:cs="Times New Roman" w:eastAsia="Times New Roman"/>
          <w:color w:val="auto"/>
          <w:spacing w:val="0"/>
          <w:position w:val="0"/>
          <w:sz w:val="24"/>
          <w:shd w:fill="auto" w:val="clear"/>
        </w:rPr>
        <w:t xml:space="preserve">: він займає 58,6 відсотків у загальному обсязі власних доходів громади. Відповідно до діючого бюджетного законодавства розмір його зарахування  в бюджет Дунаєвецької міської ради не змінився і становить 60%. Надходження ПДФО склали 75 313,6 тис.грн. -  це на 1 314,2 тис.грн. або на 1,8% більше від уточнених планових призначень та на 6 866,6 тис.грн. або 10,0% більше від фактичного показника 2019 року. </w:t>
      </w:r>
    </w:p>
    <w:p>
      <w:pPr>
        <w:spacing w:before="0" w:after="160" w:line="276"/>
        <w:ind w:right="0" w:left="0" w:firstLine="708"/>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Надходження податку на доходи фізичних осіб, тис.грн.</w:t>
      </w:r>
    </w:p>
    <w:tbl>
      <w:tblPr>
        <w:tblInd w:w="93" w:type="dxa"/>
      </w:tblPr>
      <w:tblGrid>
        <w:gridCol w:w="1176"/>
        <w:gridCol w:w="3555"/>
        <w:gridCol w:w="1117"/>
        <w:gridCol w:w="1117"/>
        <w:gridCol w:w="1117"/>
        <w:gridCol w:w="1203"/>
        <w:gridCol w:w="1295"/>
        <w:gridCol w:w="1072"/>
      </w:tblGrid>
      <w:tr>
        <w:trPr>
          <w:trHeight w:val="375" w:hRule="auto"/>
          <w:jc w:val="left"/>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355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rFonts w:ascii="Calibri" w:hAnsi="Calibri" w:cs="Calibri" w:eastAsia="Calibri"/>
                <w:color w:val="auto"/>
                <w:spacing w:val="0"/>
                <w:position w:val="0"/>
                <w:sz w:val="22"/>
                <w:shd w:fill="auto" w:val="clear"/>
              </w:rPr>
            </w:pPr>
          </w:p>
        </w:tc>
        <w:tc>
          <w:tcPr>
            <w:tcW w:w="111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 за 2019 рік</w:t>
            </w:r>
          </w:p>
        </w:tc>
        <w:tc>
          <w:tcPr>
            <w:tcW w:w="111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 на</w:t>
            </w:r>
          </w:p>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рік</w:t>
            </w:r>
          </w:p>
        </w:tc>
        <w:tc>
          <w:tcPr>
            <w:tcW w:w="1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 за 2020 рік</w:t>
            </w:r>
          </w:p>
        </w:tc>
        <w:tc>
          <w:tcPr>
            <w:tcW w:w="1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минулого </w:t>
            </w:r>
          </w:p>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року</w:t>
            </w:r>
          </w:p>
        </w:tc>
        <w:tc>
          <w:tcPr>
            <w:tcW w:w="2367" w:type="dxa"/>
            <w:gridSpan w:val="2"/>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плану</w:t>
            </w:r>
          </w:p>
        </w:tc>
      </w:tr>
      <w:tr>
        <w:trPr>
          <w:trHeight w:val="750" w:hRule="auto"/>
          <w:jc w:val="left"/>
        </w:trPr>
        <w:tc>
          <w:tcPr>
            <w:tcW w:w="117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11010100</w:t>
            </w:r>
          </w:p>
        </w:tc>
        <w:tc>
          <w:tcPr>
            <w:tcW w:w="355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Податок на доходи фізичних осіб, що сплачується податковими агентами, із доходів платника податку у вигляді заробітної плати</w:t>
            </w:r>
          </w:p>
        </w:tc>
        <w:tc>
          <w:tcPr>
            <w:tcW w:w="11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53 534,9</w:t>
            </w:r>
          </w:p>
        </w:tc>
        <w:tc>
          <w:tcPr>
            <w:tcW w:w="11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57 829,4</w:t>
            </w:r>
          </w:p>
        </w:tc>
        <w:tc>
          <w:tcPr>
            <w:tcW w:w="111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56 274,3</w:t>
            </w:r>
          </w:p>
          <w:p>
            <w:pPr>
              <w:spacing w:before="0" w:after="160" w:line="259"/>
              <w:ind w:right="0" w:left="0" w:firstLine="0"/>
              <w:jc w:val="center"/>
              <w:rPr>
                <w:color w:val="auto"/>
                <w:spacing w:val="0"/>
                <w:position w:val="0"/>
                <w:shd w:fill="auto" w:val="clear"/>
              </w:rPr>
            </w:pPr>
          </w:p>
        </w:tc>
        <w:tc>
          <w:tcPr>
            <w:tcW w:w="12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+2 739,4</w:t>
            </w:r>
          </w:p>
        </w:tc>
        <w:tc>
          <w:tcPr>
            <w:tcW w:w="2367"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-1 555,1</w:t>
            </w:r>
          </w:p>
        </w:tc>
      </w:tr>
      <w:tr>
        <w:trPr>
          <w:trHeight w:val="1500" w:hRule="auto"/>
          <w:jc w:val="left"/>
        </w:trPr>
        <w:tc>
          <w:tcPr>
            <w:tcW w:w="117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11010200</w:t>
            </w:r>
          </w:p>
        </w:tc>
        <w:tc>
          <w:tcPr>
            <w:tcW w:w="355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1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2 850,5</w:t>
            </w:r>
          </w:p>
        </w:tc>
        <w:tc>
          <w:tcPr>
            <w:tcW w:w="11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3 250,0</w:t>
            </w:r>
          </w:p>
        </w:tc>
        <w:tc>
          <w:tcPr>
            <w:tcW w:w="111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3 439,4</w:t>
            </w:r>
          </w:p>
        </w:tc>
        <w:tc>
          <w:tcPr>
            <w:tcW w:w="1203"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+588,9</w:t>
            </w:r>
          </w:p>
        </w:tc>
        <w:tc>
          <w:tcPr>
            <w:tcW w:w="2367" w:type="dxa"/>
            <w:gridSpan w:val="2"/>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+189,4</w:t>
            </w:r>
          </w:p>
        </w:tc>
      </w:tr>
      <w:tr>
        <w:trPr>
          <w:trHeight w:val="750" w:hRule="auto"/>
          <w:jc w:val="left"/>
        </w:trPr>
        <w:tc>
          <w:tcPr>
            <w:tcW w:w="117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11010400</w:t>
            </w:r>
          </w:p>
        </w:tc>
        <w:tc>
          <w:tcPr>
            <w:tcW w:w="3555"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Податок на доходи фізичних осіб, що сплачується податковими агентами, із доходів платника податку інших ніж заробітна плата</w:t>
            </w:r>
          </w:p>
        </w:tc>
        <w:tc>
          <w:tcPr>
            <w:tcW w:w="11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11 061,0</w:t>
            </w:r>
          </w:p>
        </w:tc>
        <w:tc>
          <w:tcPr>
            <w:tcW w:w="11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12 000,0</w:t>
            </w:r>
          </w:p>
        </w:tc>
        <w:tc>
          <w:tcPr>
            <w:tcW w:w="111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14 812,7</w:t>
            </w:r>
          </w:p>
        </w:tc>
        <w:tc>
          <w:tcPr>
            <w:tcW w:w="2498" w:type="dxa"/>
            <w:gridSpan w:val="2"/>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+3 751,7</w:t>
            </w:r>
          </w:p>
        </w:tc>
        <w:tc>
          <w:tcPr>
            <w:tcW w:w="1072"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+2 812,7</w:t>
            </w:r>
          </w:p>
        </w:tc>
      </w:tr>
      <w:tr>
        <w:trPr>
          <w:trHeight w:val="750" w:hRule="auto"/>
          <w:jc w:val="left"/>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11010500</w:t>
            </w:r>
          </w:p>
        </w:tc>
        <w:tc>
          <w:tcPr>
            <w:tcW w:w="355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Податок на доходи фізичних осіб, що сплачується фізичними особами за результатами річного декларування</w:t>
            </w:r>
          </w:p>
        </w:tc>
        <w:tc>
          <w:tcPr>
            <w:tcW w:w="111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1 000,6</w:t>
            </w:r>
          </w:p>
        </w:tc>
        <w:tc>
          <w:tcPr>
            <w:tcW w:w="111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920,0</w:t>
            </w:r>
          </w:p>
        </w:tc>
        <w:tc>
          <w:tcPr>
            <w:tcW w:w="1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787,2</w:t>
            </w:r>
          </w:p>
        </w:tc>
        <w:tc>
          <w:tcPr>
            <w:tcW w:w="1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-213,4</w:t>
            </w:r>
          </w:p>
        </w:tc>
        <w:tc>
          <w:tcPr>
            <w:tcW w:w="23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-213,4</w:t>
            </w:r>
          </w:p>
        </w:tc>
      </w:tr>
      <w:tr>
        <w:trPr>
          <w:trHeight w:val="241" w:hRule="auto"/>
          <w:jc w:val="left"/>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both"/>
              <w:rPr>
                <w:rFonts w:ascii="Calibri" w:hAnsi="Calibri" w:cs="Calibri" w:eastAsia="Calibri"/>
                <w:color w:val="auto"/>
                <w:spacing w:val="0"/>
                <w:position w:val="0"/>
                <w:sz w:val="22"/>
                <w:shd w:fill="auto" w:val="clear"/>
              </w:rPr>
            </w:pPr>
          </w:p>
        </w:tc>
        <w:tc>
          <w:tcPr>
            <w:tcW w:w="355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Разом</w:t>
            </w:r>
          </w:p>
        </w:tc>
        <w:tc>
          <w:tcPr>
            <w:tcW w:w="111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68 447,0</w:t>
            </w:r>
          </w:p>
        </w:tc>
        <w:tc>
          <w:tcPr>
            <w:tcW w:w="1117"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73 999,4</w:t>
            </w:r>
          </w:p>
        </w:tc>
        <w:tc>
          <w:tcPr>
            <w:tcW w:w="11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75 313,6</w:t>
            </w:r>
          </w:p>
        </w:tc>
        <w:tc>
          <w:tcPr>
            <w:tcW w:w="1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+6 866,6</w:t>
            </w:r>
          </w:p>
        </w:tc>
        <w:tc>
          <w:tcPr>
            <w:tcW w:w="236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+1 314,2</w:t>
            </w:r>
          </w:p>
        </w:tc>
      </w:tr>
    </w:tbl>
    <w:p>
      <w:pPr>
        <w:spacing w:before="0" w:after="160" w:line="276"/>
        <w:ind w:right="0" w:left="0" w:firstLine="708"/>
        <w:jc w:val="both"/>
        <w:rPr>
          <w:rFonts w:ascii="Times New Roman" w:hAnsi="Times New Roman" w:cs="Times New Roman" w:eastAsia="Times New Roman"/>
          <w:b/>
          <w:color w:val="FF0000"/>
          <w:spacing w:val="0"/>
          <w:position w:val="0"/>
          <w:sz w:val="24"/>
          <w:shd w:fill="auto" w:val="clear"/>
        </w:rPr>
      </w:pPr>
    </w:p>
    <w:p>
      <w:pPr>
        <w:spacing w:before="0" w:after="12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Податку на доходи фізичних осіб, що сплачується податковими агентами, із доходів платника податку у вигляді заробітної плати отримано на 1 555,1 тис.грн. менше, ніж планувалося. Негативно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відгукнулися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наслідки коронавірусу Covid-19 -  зменшення фонду оплати праці найманих працівників у зв’язку зі зменшенням реальної зарплати призвели до того, що приватні підприємці, починаючи з квітня сплатили на 800 тис.грн. 100-відсоткового зарплатного податку менше, ніж мали б, виходячи з січневих надходжень. Крім цього маємо щомісячні недонадходження в сумі близько 100 тис.грн. через припинення діяльності ТДВ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Дунаєвецький маслозавод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через скорочення штату райдержадміністрації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мінус 60 тис.грн. щомісячно і т.д.. Найбільшими платниками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зарплатного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податку  є  Управління освіти, молоді та спорту міської ради (сплачено 18 423,9 тис.грн. (контингент)), КНП районної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Дунаєвецька ЦРЛ</w:t>
      </w:r>
      <w:r>
        <w:rPr>
          <w:rFonts w:ascii="Times New Roman" w:hAnsi="Times New Roman" w:cs="Times New Roman" w:eastAsia="Times New Roman"/>
          <w:color w:val="auto"/>
          <w:spacing w:val="0"/>
          <w:position w:val="0"/>
          <w:sz w:val="24"/>
          <w:shd w:fill="auto" w:val="clear"/>
        </w:rPr>
        <w:t xml:space="preserve">» (9 619,7 </w:t>
      </w:r>
      <w:r>
        <w:rPr>
          <w:rFonts w:ascii="Times New Roman" w:hAnsi="Times New Roman" w:cs="Times New Roman" w:eastAsia="Times New Roman"/>
          <w:color w:val="auto"/>
          <w:spacing w:val="0"/>
          <w:position w:val="0"/>
          <w:sz w:val="24"/>
          <w:shd w:fill="auto" w:val="clear"/>
        </w:rPr>
        <w:t xml:space="preserve">тис.грн.), ЦПОСІ та КНП (5 241,2 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Верест</w:t>
      </w:r>
      <w:r>
        <w:rPr>
          <w:rFonts w:ascii="Times New Roman" w:hAnsi="Times New Roman" w:cs="Times New Roman" w:eastAsia="Times New Roman"/>
          <w:color w:val="auto"/>
          <w:spacing w:val="0"/>
          <w:position w:val="0"/>
          <w:sz w:val="24"/>
          <w:shd w:fill="auto" w:val="clear"/>
        </w:rPr>
        <w:t xml:space="preserve">» (4 424,1 </w:t>
      </w:r>
      <w:r>
        <w:rPr>
          <w:rFonts w:ascii="Times New Roman" w:hAnsi="Times New Roman" w:cs="Times New Roman" w:eastAsia="Times New Roman"/>
          <w:color w:val="auto"/>
          <w:spacing w:val="0"/>
          <w:position w:val="0"/>
          <w:sz w:val="24"/>
          <w:shd w:fill="auto" w:val="clear"/>
        </w:rPr>
        <w:t xml:space="preserve">тис.грн.), 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Хмельницькобленерго</w:t>
      </w:r>
      <w:r>
        <w:rPr>
          <w:rFonts w:ascii="Times New Roman" w:hAnsi="Times New Roman" w:cs="Times New Roman" w:eastAsia="Times New Roman"/>
          <w:color w:val="auto"/>
          <w:spacing w:val="0"/>
          <w:position w:val="0"/>
          <w:sz w:val="24"/>
          <w:shd w:fill="auto" w:val="clear"/>
        </w:rPr>
        <w:t xml:space="preserve">»  (3 102,0 </w:t>
      </w:r>
      <w:r>
        <w:rPr>
          <w:rFonts w:ascii="Times New Roman" w:hAnsi="Times New Roman" w:cs="Times New Roman" w:eastAsia="Times New Roman"/>
          <w:color w:val="auto"/>
          <w:spacing w:val="0"/>
          <w:position w:val="0"/>
          <w:sz w:val="24"/>
          <w:shd w:fill="auto" w:val="clear"/>
        </w:rPr>
        <w:t xml:space="preserve">тис.грн.) та інші. Найбільші суми ПДФО за оренду паїв сплатили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Енселко Агро</w:t>
      </w:r>
      <w:r>
        <w:rPr>
          <w:rFonts w:ascii="Times New Roman" w:hAnsi="Times New Roman" w:cs="Times New Roman" w:eastAsia="Times New Roman"/>
          <w:color w:val="auto"/>
          <w:spacing w:val="0"/>
          <w:position w:val="0"/>
          <w:sz w:val="24"/>
          <w:shd w:fill="auto" w:val="clear"/>
        </w:rPr>
        <w:t xml:space="preserve">» (6 692,1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Поділля Агросервіс</w:t>
      </w:r>
      <w:r>
        <w:rPr>
          <w:rFonts w:ascii="Times New Roman" w:hAnsi="Times New Roman" w:cs="Times New Roman" w:eastAsia="Times New Roman"/>
          <w:color w:val="auto"/>
          <w:spacing w:val="0"/>
          <w:position w:val="0"/>
          <w:sz w:val="24"/>
          <w:shd w:fill="auto" w:val="clear"/>
        </w:rPr>
        <w:t xml:space="preserve">» (1 731,4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Козацька долина 2006</w:t>
      </w:r>
      <w:r>
        <w:rPr>
          <w:rFonts w:ascii="Times New Roman" w:hAnsi="Times New Roman" w:cs="Times New Roman" w:eastAsia="Times New Roman"/>
          <w:color w:val="auto"/>
          <w:spacing w:val="0"/>
          <w:position w:val="0"/>
          <w:sz w:val="24"/>
          <w:shd w:fill="auto" w:val="clear"/>
        </w:rPr>
        <w:t xml:space="preserve">» (1 5148,0 </w:t>
      </w:r>
      <w:r>
        <w:rPr>
          <w:rFonts w:ascii="Times New Roman" w:hAnsi="Times New Roman" w:cs="Times New Roman" w:eastAsia="Times New Roman"/>
          <w:color w:val="auto"/>
          <w:spacing w:val="0"/>
          <w:position w:val="0"/>
          <w:sz w:val="24"/>
          <w:shd w:fill="auto" w:val="clear"/>
        </w:rPr>
        <w:t xml:space="preserve">тис.грн.), ФГ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Подільська марка</w:t>
      </w:r>
      <w:r>
        <w:rPr>
          <w:rFonts w:ascii="Times New Roman" w:hAnsi="Times New Roman" w:cs="Times New Roman" w:eastAsia="Times New Roman"/>
          <w:color w:val="auto"/>
          <w:spacing w:val="0"/>
          <w:position w:val="0"/>
          <w:sz w:val="24"/>
          <w:shd w:fill="auto" w:val="clear"/>
        </w:rPr>
        <w:t xml:space="preserve">» (851,1 </w:t>
      </w:r>
      <w:r>
        <w:rPr>
          <w:rFonts w:ascii="Times New Roman" w:hAnsi="Times New Roman" w:cs="Times New Roman" w:eastAsia="Times New Roman"/>
          <w:color w:val="auto"/>
          <w:spacing w:val="0"/>
          <w:position w:val="0"/>
          <w:sz w:val="24"/>
          <w:shd w:fill="auto" w:val="clear"/>
        </w:rPr>
        <w:t xml:space="preserve">тис.грн.).  і т.д..</w:t>
      </w:r>
    </w:p>
    <w:p>
      <w:pPr>
        <w:spacing w:before="0" w:after="12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 по підкоду 11010400 значно перевиконано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2 812,8 тис.грн.: крім 3 866,2 тис.грн. 60-відсоткового податку від продажу електроенергії по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зеленому тарифу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порівняння: в 2019 році сума надходжень склала 1 316,2 тис.грн.),  орендарями паїв сплачено 538,4 тис.грн. (60%) ПДФО з дорахованої за 2019 рік орендної плати та боргів за 2019 рік, а також 10 182,6 тис.грн. (60%) податку з орендної плати за 2020 рік (на 691,0 тис.грн. більше ніж за 2019 рік).</w:t>
      </w:r>
    </w:p>
    <w:p>
      <w:pPr>
        <w:spacing w:before="0" w:after="24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Сума надходжень </w:t>
      </w:r>
      <w:r>
        <w:rPr>
          <w:rFonts w:ascii="Times New Roman" w:hAnsi="Times New Roman" w:cs="Times New Roman" w:eastAsia="Times New Roman"/>
          <w:b/>
          <w:i/>
          <w:color w:val="auto"/>
          <w:spacing w:val="0"/>
          <w:position w:val="0"/>
          <w:sz w:val="24"/>
          <w:shd w:fill="auto" w:val="clear"/>
        </w:rPr>
        <w:t xml:space="preserve">рентної плати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за спеціальне використання лісових ресурсів </w:t>
      </w:r>
      <w:r>
        <w:rPr>
          <w:rFonts w:ascii="Times New Roman" w:hAnsi="Times New Roman" w:cs="Times New Roman" w:eastAsia="Times New Roman"/>
          <w:color w:val="auto"/>
          <w:spacing w:val="0"/>
          <w:position w:val="0"/>
          <w:sz w:val="24"/>
          <w:shd w:fill="auto" w:val="clear"/>
        </w:rPr>
        <w:t xml:space="preserve">в частині деревини, заготовленої в порядку рубок головного користування складає 519,6 тис.грн.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згідно норм Бюджетного кодексу України, 37 відсотків від сплачених сум. Отримані від двох платників (ДП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Кам’янець-Подільський лісгосп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 КП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Лісовик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надходження на 129,6 тис.грн. більші від плану та  на 81,1 тис.грн. більші ніж у 2019 році за рахунок збільшення обсягів проведених робіт. </w:t>
      </w:r>
      <w:r>
        <w:rPr>
          <w:rFonts w:ascii="Times New Roman" w:hAnsi="Times New Roman" w:cs="Times New Roman" w:eastAsia="Times New Roman"/>
          <w:b/>
          <w:i/>
          <w:color w:val="auto"/>
          <w:spacing w:val="0"/>
          <w:position w:val="0"/>
          <w:sz w:val="24"/>
          <w:shd w:fill="auto" w:val="clear"/>
        </w:rPr>
        <w:t xml:space="preserve">Рентної плати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за спеціальне використання лісових ресурсів </w:t>
      </w:r>
      <w:r>
        <w:rPr>
          <w:rFonts w:ascii="Times New Roman" w:hAnsi="Times New Roman" w:cs="Times New Roman" w:eastAsia="Times New Roman"/>
          <w:color w:val="auto"/>
          <w:spacing w:val="0"/>
          <w:position w:val="0"/>
          <w:sz w:val="24"/>
          <w:shd w:fill="auto" w:val="clear"/>
        </w:rPr>
        <w:t xml:space="preserve">(крім рентної плати за спеціальне використання лісових ресурсів</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частині деревини, заготовленої в порядку рубок головного користування), яка 100-відсотково зараховується до міського бюджету, отримано 103,5 тис.грн.: платники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Кам’янець-Подільський лісгосп</w:t>
      </w:r>
      <w:r>
        <w:rPr>
          <w:rFonts w:ascii="Times New Roman" w:hAnsi="Times New Roman" w:cs="Times New Roman" w:eastAsia="Times New Roman"/>
          <w:color w:val="auto"/>
          <w:spacing w:val="0"/>
          <w:position w:val="0"/>
          <w:sz w:val="24"/>
          <w:shd w:fill="auto" w:val="clear"/>
        </w:rPr>
        <w:t xml:space="preserve">» (99,3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СТЛ+М</w:t>
      </w:r>
      <w:r>
        <w:rPr>
          <w:rFonts w:ascii="Times New Roman" w:hAnsi="Times New Roman" w:cs="Times New Roman" w:eastAsia="Times New Roman"/>
          <w:color w:val="auto"/>
          <w:spacing w:val="0"/>
          <w:position w:val="0"/>
          <w:sz w:val="24"/>
          <w:shd w:fill="auto" w:val="clear"/>
        </w:rPr>
        <w:t xml:space="preserve">» (3,7 </w:t>
      </w:r>
      <w:r>
        <w:rPr>
          <w:rFonts w:ascii="Times New Roman" w:hAnsi="Times New Roman" w:cs="Times New Roman" w:eastAsia="Times New Roman"/>
          <w:color w:val="auto"/>
          <w:spacing w:val="0"/>
          <w:position w:val="0"/>
          <w:sz w:val="24"/>
          <w:shd w:fill="auto" w:val="clear"/>
        </w:rPr>
        <w:t xml:space="preserve">тис.грн.), Філія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Південно-Західна залізниця</w:t>
      </w:r>
      <w:r>
        <w:rPr>
          <w:rFonts w:ascii="Times New Roman" w:hAnsi="Times New Roman" w:cs="Times New Roman" w:eastAsia="Times New Roman"/>
          <w:color w:val="auto"/>
          <w:spacing w:val="0"/>
          <w:position w:val="0"/>
          <w:sz w:val="24"/>
          <w:shd w:fill="auto" w:val="clear"/>
        </w:rPr>
        <w:t xml:space="preserve">» (0,5 </w:t>
      </w:r>
      <w:r>
        <w:rPr>
          <w:rFonts w:ascii="Times New Roman" w:hAnsi="Times New Roman" w:cs="Times New Roman" w:eastAsia="Times New Roman"/>
          <w:color w:val="auto"/>
          <w:spacing w:val="0"/>
          <w:position w:val="0"/>
          <w:sz w:val="24"/>
          <w:shd w:fill="auto" w:val="clear"/>
        </w:rPr>
        <w:t xml:space="preserve">тис.грн.).</w:t>
      </w:r>
    </w:p>
    <w:p>
      <w:pPr>
        <w:spacing w:before="0" w:after="24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Рентна плата за користування надрами</w:t>
      </w:r>
      <w:r>
        <w:rPr>
          <w:rFonts w:ascii="Times New Roman" w:hAnsi="Times New Roman" w:cs="Times New Roman" w:eastAsia="Times New Roman"/>
          <w:color w:val="auto"/>
          <w:spacing w:val="0"/>
          <w:position w:val="0"/>
          <w:sz w:val="24"/>
          <w:shd w:fill="auto" w:val="clear"/>
        </w:rPr>
        <w:t xml:space="preserve"> зарахована в міський бюджет в розмірі 5% від загальної сплати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як того вимагає Бюджетний кодекс України. Сума надходжень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17,6 </w:t>
      </w:r>
      <w:r>
        <w:rPr>
          <w:rFonts w:ascii="Times New Roman" w:hAnsi="Times New Roman" w:cs="Times New Roman" w:eastAsia="Times New Roman"/>
          <w:color w:val="auto"/>
          <w:spacing w:val="0"/>
          <w:position w:val="0"/>
          <w:sz w:val="24"/>
          <w:shd w:fill="auto" w:val="clear"/>
        </w:rPr>
        <w:t xml:space="preserve">тис.грн.. Найбільший платіж здійснило комунальне підприємство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Міськводоканал</w:t>
      </w:r>
      <w:r>
        <w:rPr>
          <w:rFonts w:ascii="Times New Roman" w:hAnsi="Times New Roman" w:cs="Times New Roman" w:eastAsia="Times New Roman"/>
          <w:color w:val="auto"/>
          <w:spacing w:val="0"/>
          <w:position w:val="0"/>
          <w:sz w:val="24"/>
          <w:shd w:fill="auto" w:val="clear"/>
        </w:rPr>
        <w:t xml:space="preserve">» - 15,5 </w:t>
      </w:r>
      <w:r>
        <w:rPr>
          <w:rFonts w:ascii="Times New Roman" w:hAnsi="Times New Roman" w:cs="Times New Roman" w:eastAsia="Times New Roman"/>
          <w:color w:val="auto"/>
          <w:spacing w:val="0"/>
          <w:position w:val="0"/>
          <w:sz w:val="24"/>
          <w:shd w:fill="auto" w:val="clear"/>
        </w:rPr>
        <w:t xml:space="preserve">тис.грн. (це 5-відсоткова сплата), ще 11 платників перерахували незначні суми (до 1 тис.грн. кожен).</w:t>
      </w:r>
    </w:p>
    <w:p>
      <w:pPr>
        <w:spacing w:before="0" w:after="160" w:line="276"/>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w:t>
      </w:r>
      <w:r>
        <w:rPr>
          <w:rFonts w:ascii="Times New Roman" w:hAnsi="Times New Roman" w:cs="Times New Roman" w:eastAsia="Times New Roman"/>
          <w:b/>
          <w:i/>
          <w:color w:val="auto"/>
          <w:spacing w:val="0"/>
          <w:position w:val="0"/>
          <w:sz w:val="24"/>
          <w:shd w:fill="auto" w:val="clear"/>
        </w:rPr>
        <w:t xml:space="preserve">акцизному податку</w:t>
      </w:r>
      <w:r>
        <w:rPr>
          <w:rFonts w:ascii="Times New Roman" w:hAnsi="Times New Roman" w:cs="Times New Roman" w:eastAsia="Times New Roman"/>
          <w:color w:val="auto"/>
          <w:spacing w:val="0"/>
          <w:position w:val="0"/>
          <w:sz w:val="24"/>
          <w:shd w:fill="auto" w:val="clear"/>
        </w:rPr>
        <w:t xml:space="preserve">  надходження склали 5 716,9 тис.грн. при уточненому плані  5 200,0 тис.грн., тобто призначення перевиконані на  516,9 тис.грн. або 9,9 відсотків.</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262,3 тис.грн. та 210,4 тис.грн. відповідно маємо перевиконання плану по податку з вироблених та з ввезених на митну територію України підакцизних товарів (пальне). Порівняно з минулим роком надходження акцизу з пального теж зросли - на 218,5 тис.грн. та 377,1 тис.грн. відповідно: ріст забезпечено за рахунок збільшення обсягу реалізованого заправками пального, пропорційно до якого здійснюється розподіл акцизу між громадами.  </w:t>
      </w:r>
    </w:p>
    <w:p>
      <w:pPr>
        <w:spacing w:before="0" w:after="160" w:line="276"/>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Акцизу з роздрібного продажу підакцизних товарів отримано 1 844,1 тис.грн.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44,1 тис.грн. понад план та на 179,8 тис.грн. більше від показника 2019 року. Найбільші надходження забезпечили юридичні особи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АТБ-маркет</w:t>
      </w:r>
      <w:r>
        <w:rPr>
          <w:rFonts w:ascii="Times New Roman" w:hAnsi="Times New Roman" w:cs="Times New Roman" w:eastAsia="Times New Roman"/>
          <w:color w:val="auto"/>
          <w:spacing w:val="0"/>
          <w:position w:val="0"/>
          <w:sz w:val="24"/>
          <w:shd w:fill="auto" w:val="clear"/>
        </w:rPr>
        <w:t xml:space="preserve">» (660,4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Ковбаска Експрес</w:t>
      </w:r>
      <w:r>
        <w:rPr>
          <w:rFonts w:ascii="Times New Roman" w:hAnsi="Times New Roman" w:cs="Times New Roman" w:eastAsia="Times New Roman"/>
          <w:color w:val="auto"/>
          <w:spacing w:val="0"/>
          <w:position w:val="0"/>
          <w:sz w:val="24"/>
          <w:shd w:fill="auto" w:val="clear"/>
        </w:rPr>
        <w:t xml:space="preserve">»(204,4 </w:t>
      </w:r>
      <w:r>
        <w:rPr>
          <w:rFonts w:ascii="Times New Roman" w:hAnsi="Times New Roman" w:cs="Times New Roman" w:eastAsia="Times New Roman"/>
          <w:color w:val="auto"/>
          <w:spacing w:val="0"/>
          <w:position w:val="0"/>
          <w:sz w:val="24"/>
          <w:shd w:fill="auto" w:val="clear"/>
        </w:rPr>
        <w:t xml:space="preserve">тис.грн.), 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Славутич Поділля</w:t>
      </w:r>
      <w:r>
        <w:rPr>
          <w:rFonts w:ascii="Times New Roman" w:hAnsi="Times New Roman" w:cs="Times New Roman" w:eastAsia="Times New Roman"/>
          <w:color w:val="auto"/>
          <w:spacing w:val="0"/>
          <w:position w:val="0"/>
          <w:sz w:val="24"/>
          <w:shd w:fill="auto" w:val="clear"/>
        </w:rPr>
        <w:t xml:space="preserve">» (153,3 </w:t>
      </w:r>
      <w:r>
        <w:rPr>
          <w:rFonts w:ascii="Times New Roman" w:hAnsi="Times New Roman" w:cs="Times New Roman" w:eastAsia="Times New Roman"/>
          <w:color w:val="auto"/>
          <w:spacing w:val="0"/>
          <w:position w:val="0"/>
          <w:sz w:val="24"/>
          <w:shd w:fill="auto" w:val="clear"/>
        </w:rPr>
        <w:t xml:space="preserve">тис.грн.) та ін.</w:t>
      </w:r>
    </w:p>
    <w:p>
      <w:pPr>
        <w:spacing w:before="0" w:after="120" w:line="276"/>
        <w:ind w:right="0" w:left="0" w:firstLine="4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Податку на нерухоме майно</w:t>
      </w:r>
      <w:r>
        <w:rPr>
          <w:rFonts w:ascii="Times New Roman" w:hAnsi="Times New Roman" w:cs="Times New Roman" w:eastAsia="Times New Roman"/>
          <w:color w:val="auto"/>
          <w:spacing w:val="0"/>
          <w:position w:val="0"/>
          <w:sz w:val="24"/>
          <w:shd w:fill="auto" w:val="clear"/>
        </w:rPr>
        <w:t xml:space="preserve">, відмінне від земельної ділянки, надійшло 3 147,1 тис.грн., що на 635,9 тис.грн. або  25,3% більше від плану.</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Порівняно з 2019 роком надходження збільшились на 819,8 тис.грн.обо 35,2%. Досить суттєве  перевиконання плану забезпечено юридичними особами по податку на нежитлову нерухомість:  найбільші платники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Укртелеком</w:t>
      </w:r>
      <w:r>
        <w:rPr>
          <w:rFonts w:ascii="Times New Roman" w:hAnsi="Times New Roman" w:cs="Times New Roman" w:eastAsia="Times New Roman"/>
          <w:color w:val="auto"/>
          <w:spacing w:val="0"/>
          <w:position w:val="0"/>
          <w:sz w:val="24"/>
          <w:shd w:fill="auto" w:val="clear"/>
        </w:rPr>
        <w:t xml:space="preserve">» (83,4 </w:t>
      </w:r>
      <w:r>
        <w:rPr>
          <w:rFonts w:ascii="Times New Roman" w:hAnsi="Times New Roman" w:cs="Times New Roman" w:eastAsia="Times New Roman"/>
          <w:color w:val="auto"/>
          <w:spacing w:val="0"/>
          <w:position w:val="0"/>
          <w:sz w:val="24"/>
          <w:shd w:fill="auto" w:val="clear"/>
        </w:rPr>
        <w:t xml:space="preserve">тис.грн.), Дунаєвецьке РСТ (79,6 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Ріелтер 7К</w:t>
      </w:r>
      <w:r>
        <w:rPr>
          <w:rFonts w:ascii="Times New Roman" w:hAnsi="Times New Roman" w:cs="Times New Roman" w:eastAsia="Times New Roman"/>
          <w:color w:val="auto"/>
          <w:spacing w:val="0"/>
          <w:position w:val="0"/>
          <w:sz w:val="24"/>
          <w:shd w:fill="auto" w:val="clear"/>
        </w:rPr>
        <w:t xml:space="preserve">» (76,8 </w:t>
      </w:r>
      <w:r>
        <w:rPr>
          <w:rFonts w:ascii="Times New Roman" w:hAnsi="Times New Roman" w:cs="Times New Roman" w:eastAsia="Times New Roman"/>
          <w:color w:val="auto"/>
          <w:spacing w:val="0"/>
          <w:position w:val="0"/>
          <w:sz w:val="24"/>
          <w:shd w:fill="auto" w:val="clear"/>
        </w:rPr>
        <w:t xml:space="preserve">тис.грн.), АТ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Хмельницькгаз</w:t>
      </w:r>
      <w:r>
        <w:rPr>
          <w:rFonts w:ascii="Times New Roman" w:hAnsi="Times New Roman" w:cs="Times New Roman" w:eastAsia="Times New Roman"/>
          <w:color w:val="auto"/>
          <w:spacing w:val="0"/>
          <w:position w:val="0"/>
          <w:sz w:val="24"/>
          <w:shd w:fill="auto" w:val="clear"/>
        </w:rPr>
        <w:t xml:space="preserve">» (55,6 </w:t>
      </w:r>
      <w:r>
        <w:rPr>
          <w:rFonts w:ascii="Times New Roman" w:hAnsi="Times New Roman" w:cs="Times New Roman" w:eastAsia="Times New Roman"/>
          <w:color w:val="auto"/>
          <w:spacing w:val="0"/>
          <w:position w:val="0"/>
          <w:sz w:val="24"/>
          <w:shd w:fill="auto" w:val="clear"/>
        </w:rPr>
        <w:t xml:space="preserve">тис.грн.) та ін.</w:t>
      </w:r>
    </w:p>
    <w:p>
      <w:pPr>
        <w:spacing w:before="0" w:after="240" w:line="276"/>
        <w:ind w:right="0" w:left="0" w:firstLine="567"/>
        <w:jc w:val="both"/>
        <w:rPr>
          <w:rFonts w:ascii="Times New Roman" w:hAnsi="Times New Roman" w:cs="Times New Roman" w:eastAsia="Times New Roman"/>
          <w:color w:val="auto"/>
          <w:spacing w:val="4"/>
          <w:position w:val="0"/>
          <w:sz w:val="24"/>
          <w:shd w:fill="auto" w:val="clear"/>
        </w:rPr>
      </w:pPr>
      <w:r>
        <w:rPr>
          <w:rFonts w:ascii="Times New Roman" w:hAnsi="Times New Roman" w:cs="Times New Roman" w:eastAsia="Times New Roman"/>
          <w:b/>
          <w:i/>
          <w:color w:val="auto"/>
          <w:spacing w:val="4"/>
          <w:position w:val="0"/>
          <w:sz w:val="24"/>
          <w:shd w:fill="auto" w:val="clear"/>
        </w:rPr>
        <w:t xml:space="preserve">Транспортний податок</w:t>
      </w:r>
      <w:r>
        <w:rPr>
          <w:rFonts w:ascii="Times New Roman" w:hAnsi="Times New Roman" w:cs="Times New Roman" w:eastAsia="Times New Roman"/>
          <w:color w:val="auto"/>
          <w:spacing w:val="4"/>
          <w:position w:val="0"/>
          <w:sz w:val="24"/>
          <w:shd w:fill="auto" w:val="clear"/>
        </w:rPr>
        <w:t xml:space="preserve"> з фізичних осіб надійшов у сумі 229,0 тис.грн. Найбільшу суму заплатив Беребелюх Микола Васильович </w:t>
      </w:r>
      <w:r>
        <w:rPr>
          <w:rFonts w:ascii="Times New Roman" w:hAnsi="Times New Roman" w:cs="Times New Roman" w:eastAsia="Times New Roman"/>
          <w:color w:val="auto"/>
          <w:spacing w:val="4"/>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ним погашено 125,0 тис.грн. боргу минулих років. Юридичні особи перерахували 93,7 тис.грн. податку</w:t>
      </w:r>
    </w:p>
    <w:p>
      <w:pPr>
        <w:spacing w:before="0" w:after="240" w:line="276"/>
        <w:ind w:right="0" w:left="0" w:firstLine="567"/>
        <w:jc w:val="both"/>
        <w:rPr>
          <w:rFonts w:ascii="Times New Roman" w:hAnsi="Times New Roman" w:cs="Times New Roman" w:eastAsia="Times New Roman"/>
          <w:color w:val="auto"/>
          <w:spacing w:val="4"/>
          <w:position w:val="0"/>
          <w:sz w:val="24"/>
          <w:shd w:fill="auto" w:val="clear"/>
        </w:rPr>
      </w:pPr>
      <w:r>
        <w:rPr>
          <w:rFonts w:ascii="Times New Roman" w:hAnsi="Times New Roman" w:cs="Times New Roman" w:eastAsia="Times New Roman"/>
          <w:b/>
          <w:i/>
          <w:color w:val="auto"/>
          <w:spacing w:val="4"/>
          <w:position w:val="0"/>
          <w:sz w:val="24"/>
          <w:shd w:fill="auto" w:val="clear"/>
        </w:rPr>
        <w:t xml:space="preserve">Туристичний збір</w:t>
      </w:r>
      <w:r>
        <w:rPr>
          <w:rFonts w:ascii="Times New Roman" w:hAnsi="Times New Roman" w:cs="Times New Roman" w:eastAsia="Times New Roman"/>
          <w:color w:val="auto"/>
          <w:spacing w:val="4"/>
          <w:position w:val="0"/>
          <w:sz w:val="24"/>
          <w:shd w:fill="auto" w:val="clear"/>
        </w:rPr>
        <w:t xml:space="preserve"> в міський бюджет сплачують фізичні особи</w:t>
      </w:r>
      <w:r>
        <w:rPr>
          <w:rFonts w:ascii="Times New Roman" w:hAnsi="Times New Roman" w:cs="Times New Roman" w:eastAsia="Times New Roman"/>
          <w:color w:val="FF0000"/>
          <w:spacing w:val="4"/>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надходження склали 10,0 тис.грн. </w:t>
      </w:r>
    </w:p>
    <w:p>
      <w:pPr>
        <w:spacing w:before="0" w:after="160" w:line="276"/>
        <w:ind w:right="0" w:left="0" w:firstLine="708"/>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Надходження </w:t>
      </w:r>
      <w:r>
        <w:rPr>
          <w:rFonts w:ascii="Times New Roman" w:hAnsi="Times New Roman" w:cs="Times New Roman" w:eastAsia="Times New Roman"/>
          <w:b/>
          <w:i/>
          <w:color w:val="auto"/>
          <w:spacing w:val="0"/>
          <w:position w:val="0"/>
          <w:sz w:val="24"/>
          <w:shd w:fill="auto" w:val="clear"/>
        </w:rPr>
        <w:t xml:space="preserve">плати за землю</w:t>
      </w:r>
      <w:r>
        <w:rPr>
          <w:rFonts w:ascii="Times New Roman" w:hAnsi="Times New Roman" w:cs="Times New Roman" w:eastAsia="Times New Roman"/>
          <w:color w:val="auto"/>
          <w:spacing w:val="0"/>
          <w:position w:val="0"/>
          <w:sz w:val="24"/>
          <w:shd w:fill="auto" w:val="clear"/>
        </w:rPr>
        <w:t xml:space="preserve">, тис.грн.</w:t>
      </w:r>
    </w:p>
    <w:tbl>
      <w:tblPr/>
      <w:tblGrid>
        <w:gridCol w:w="1176"/>
        <w:gridCol w:w="3331"/>
        <w:gridCol w:w="1254"/>
        <w:gridCol w:w="1260"/>
        <w:gridCol w:w="1106"/>
        <w:gridCol w:w="1271"/>
        <w:gridCol w:w="1073"/>
      </w:tblGrid>
      <w:tr>
        <w:trPr>
          <w:trHeight w:val="620" w:hRule="auto"/>
          <w:jc w:val="center"/>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rFonts w:ascii="Calibri" w:hAnsi="Calibri" w:cs="Calibri" w:eastAsia="Calibri"/>
                <w:color w:val="auto"/>
                <w:spacing w:val="0"/>
                <w:position w:val="0"/>
                <w:sz w:val="22"/>
                <w:shd w:fill="auto" w:val="clear"/>
              </w:rPr>
            </w:pPr>
          </w:p>
        </w:tc>
        <w:tc>
          <w:tcPr>
            <w:tcW w:w="3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center"/>
              <w:rPr>
                <w:rFonts w:ascii="Calibri" w:hAnsi="Calibri" w:cs="Calibri" w:eastAsia="Calibri"/>
                <w:color w:val="auto"/>
                <w:spacing w:val="0"/>
                <w:position w:val="0"/>
                <w:sz w:val="22"/>
                <w:shd w:fill="auto" w:val="clear"/>
              </w:rPr>
            </w:pP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Факт за </w:t>
            </w:r>
          </w:p>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2019 </w:t>
            </w:r>
            <w:r>
              <w:rPr>
                <w:rFonts w:ascii="Times New Roman" w:hAnsi="Times New Roman" w:cs="Times New Roman" w:eastAsia="Times New Roman"/>
                <w:color w:val="auto"/>
                <w:spacing w:val="0"/>
                <w:position w:val="0"/>
                <w:sz w:val="24"/>
                <w:shd w:fill="auto" w:val="clear"/>
              </w:rPr>
              <w:t xml:space="preserve">рік</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 на </w:t>
            </w:r>
          </w:p>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рік</w:t>
            </w:r>
          </w:p>
        </w:tc>
        <w:tc>
          <w:tcPr>
            <w:tcW w:w="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 за 2020 рік</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минулого року</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плану</w:t>
            </w:r>
          </w:p>
        </w:tc>
      </w:tr>
      <w:tr>
        <w:trPr>
          <w:trHeight w:val="407" w:hRule="auto"/>
          <w:jc w:val="center"/>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18010500</w:t>
            </w:r>
          </w:p>
        </w:tc>
        <w:tc>
          <w:tcPr>
            <w:tcW w:w="3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Земельний податок з юридичних осіб</w:t>
            </w: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1 450,2</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1 350,0</w:t>
            </w:r>
          </w:p>
        </w:tc>
        <w:tc>
          <w:tcPr>
            <w:tcW w:w="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1 408,3</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-41,9</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+58,3</w:t>
            </w:r>
          </w:p>
        </w:tc>
      </w:tr>
      <w:tr>
        <w:trPr>
          <w:trHeight w:val="412" w:hRule="auto"/>
          <w:jc w:val="center"/>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18010600</w:t>
            </w:r>
          </w:p>
        </w:tc>
        <w:tc>
          <w:tcPr>
            <w:tcW w:w="3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Орендна плата з юридичних осіб</w:t>
            </w: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6 546,1</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8 700,0</w:t>
            </w:r>
          </w:p>
        </w:tc>
        <w:tc>
          <w:tcPr>
            <w:tcW w:w="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9 858,4</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+3 312,3</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+1 158,4</w:t>
            </w:r>
          </w:p>
        </w:tc>
      </w:tr>
      <w:tr>
        <w:trPr>
          <w:trHeight w:val="419" w:hRule="auto"/>
          <w:jc w:val="center"/>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18010700</w:t>
            </w:r>
          </w:p>
        </w:tc>
        <w:tc>
          <w:tcPr>
            <w:tcW w:w="3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Земельний податок з фізичних осіб</w:t>
            </w: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1 265,6</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1 245,0</w:t>
            </w:r>
          </w:p>
        </w:tc>
        <w:tc>
          <w:tcPr>
            <w:tcW w:w="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1 253,1</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-12,5</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w:t>
            </w:r>
          </w:p>
        </w:tc>
      </w:tr>
      <w:tr>
        <w:trPr>
          <w:trHeight w:val="409" w:hRule="auto"/>
          <w:jc w:val="center"/>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18010900</w:t>
            </w:r>
          </w:p>
        </w:tc>
        <w:tc>
          <w:tcPr>
            <w:tcW w:w="3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Орендна плата з фізичних осіб</w:t>
            </w: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4 494,7</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4 800,0</w:t>
            </w:r>
          </w:p>
        </w:tc>
        <w:tc>
          <w:tcPr>
            <w:tcW w:w="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4 653,6</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+158,9</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-146,4</w:t>
            </w:r>
          </w:p>
        </w:tc>
      </w:tr>
      <w:tr>
        <w:trPr>
          <w:trHeight w:val="545" w:hRule="auto"/>
          <w:jc w:val="center"/>
        </w:trPr>
        <w:tc>
          <w:tcPr>
            <w:tcW w:w="1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rFonts w:ascii="Calibri" w:hAnsi="Calibri" w:cs="Calibri" w:eastAsia="Calibri"/>
                <w:color w:val="auto"/>
                <w:spacing w:val="0"/>
                <w:position w:val="0"/>
                <w:sz w:val="22"/>
                <w:shd w:fill="auto" w:val="clear"/>
              </w:rPr>
            </w:pPr>
          </w:p>
        </w:tc>
        <w:tc>
          <w:tcPr>
            <w:tcW w:w="33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Разом:</w:t>
            </w:r>
          </w:p>
        </w:tc>
        <w:tc>
          <w:tcPr>
            <w:tcW w:w="12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13756,6</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16 095,0</w:t>
            </w:r>
          </w:p>
        </w:tc>
        <w:tc>
          <w:tcPr>
            <w:tcW w:w="11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17 173,4</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+3 416,8</w:t>
            </w:r>
          </w:p>
        </w:tc>
        <w:tc>
          <w:tcPr>
            <w:tcW w:w="1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+1 078,4</w:t>
            </w:r>
          </w:p>
        </w:tc>
      </w:tr>
    </w:tbl>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звітний рік до міського бюджету  надійшло 17 173,4 тис.грн. плати за землю, з них орендної плати за землю отримано 14 512,0 тис.грн., земельного податку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661,4 </w:t>
      </w:r>
      <w:r>
        <w:rPr>
          <w:rFonts w:ascii="Times New Roman" w:hAnsi="Times New Roman" w:cs="Times New Roman" w:eastAsia="Times New Roman"/>
          <w:color w:val="auto"/>
          <w:spacing w:val="0"/>
          <w:position w:val="0"/>
          <w:sz w:val="24"/>
          <w:shd w:fill="auto" w:val="clear"/>
        </w:rPr>
        <w:t xml:space="preserve">тис.грн. План по платі за землю виконано на 106,7%, перевиконання в сумі становить 1 078,4 тис.грн.. Збільшення надходжень до минулого року становить 3 416,8 тис.грн..</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позитивну динаміку вплинуло те, що  у 2020 році передано в оренду 397,1 гектарів  земель сільськогосподарського шляхом проведення аукціонів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одноразові річні надходження склали 2 100,4 тис.грн., розмір плати за 1 гектар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5,3 </w:t>
      </w:r>
      <w:r>
        <w:rPr>
          <w:rFonts w:ascii="Times New Roman" w:hAnsi="Times New Roman" w:cs="Times New Roman" w:eastAsia="Times New Roman"/>
          <w:color w:val="auto"/>
          <w:spacing w:val="0"/>
          <w:position w:val="0"/>
          <w:sz w:val="24"/>
          <w:shd w:fill="auto" w:val="clear"/>
        </w:rPr>
        <w:t xml:space="preserve">тис.грн. Крім цього ріст надходжень плати за землю забезпечено за рахунок переукладення наприкінці 2019 року 45 договорів оренди земель с/г призначення стосовно збільшення ставок оренди.</w:t>
      </w:r>
    </w:p>
    <w:p>
      <w:pPr>
        <w:spacing w:before="0" w:after="160" w:line="276"/>
        <w:ind w:right="0" w:left="0" w:firstLine="567"/>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Земельного податку з юридичних осіб отримано на 41,9 тис.грн. менше, від фізичних осіб - на 12,5 тис.грн. менше від минулорічних надходжень у зв’язку із наявною заборгованістю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станом на 01.01.2021 року борг становить</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502,6 тис.грн. (без врахування списання).</w:t>
      </w:r>
    </w:p>
    <w:p>
      <w:pPr>
        <w:spacing w:before="0" w:after="160" w:line="276"/>
        <w:ind w:right="0" w:left="0" w:firstLine="4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Найбільшими платниками з числа юридичних осіб є  ФГ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Подільська марка</w:t>
      </w:r>
      <w:r>
        <w:rPr>
          <w:rFonts w:ascii="Times New Roman" w:hAnsi="Times New Roman" w:cs="Times New Roman" w:eastAsia="Times New Roman"/>
          <w:color w:val="auto"/>
          <w:spacing w:val="0"/>
          <w:position w:val="0"/>
          <w:sz w:val="24"/>
          <w:shd w:fill="auto" w:val="clear"/>
        </w:rPr>
        <w:t xml:space="preserve">» (1 674,6 </w:t>
      </w:r>
      <w:r>
        <w:rPr>
          <w:rFonts w:ascii="Times New Roman" w:hAnsi="Times New Roman" w:cs="Times New Roman" w:eastAsia="Times New Roman"/>
          <w:color w:val="auto"/>
          <w:spacing w:val="0"/>
          <w:position w:val="0"/>
          <w:sz w:val="24"/>
          <w:shd w:fill="auto" w:val="clear"/>
        </w:rPr>
        <w:t xml:space="preserve">тис.грн), ФГ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Житниця</w:t>
      </w:r>
      <w:r>
        <w:rPr>
          <w:rFonts w:ascii="Times New Roman" w:hAnsi="Times New Roman" w:cs="Times New Roman" w:eastAsia="Times New Roman"/>
          <w:color w:val="auto"/>
          <w:spacing w:val="0"/>
          <w:position w:val="0"/>
          <w:sz w:val="24"/>
          <w:shd w:fill="auto" w:val="clear"/>
        </w:rPr>
        <w:t xml:space="preserve">» (916,6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Ситний двір</w:t>
      </w:r>
      <w:r>
        <w:rPr>
          <w:rFonts w:ascii="Times New Roman" w:hAnsi="Times New Roman" w:cs="Times New Roman" w:eastAsia="Times New Roman"/>
          <w:color w:val="auto"/>
          <w:spacing w:val="0"/>
          <w:position w:val="0"/>
          <w:sz w:val="24"/>
          <w:shd w:fill="auto" w:val="clear"/>
        </w:rPr>
        <w:t xml:space="preserve">» (851,7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Екотехнік-Дунаївці</w:t>
      </w:r>
      <w:r>
        <w:rPr>
          <w:rFonts w:ascii="Times New Roman" w:hAnsi="Times New Roman" w:cs="Times New Roman" w:eastAsia="Times New Roman"/>
          <w:color w:val="auto"/>
          <w:spacing w:val="0"/>
          <w:position w:val="0"/>
          <w:sz w:val="24"/>
          <w:shd w:fill="auto" w:val="clear"/>
        </w:rPr>
        <w:t xml:space="preserve">»  (791,2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Балинське 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Генетик</w:t>
      </w:r>
      <w:r>
        <w:rPr>
          <w:rFonts w:ascii="Times New Roman" w:hAnsi="Times New Roman" w:cs="Times New Roman" w:eastAsia="Times New Roman"/>
          <w:color w:val="auto"/>
          <w:spacing w:val="0"/>
          <w:position w:val="0"/>
          <w:sz w:val="24"/>
          <w:shd w:fill="auto" w:val="clear"/>
        </w:rPr>
        <w:t xml:space="preserve">» (631,6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Козацька долина 2006</w:t>
      </w:r>
      <w:r>
        <w:rPr>
          <w:rFonts w:ascii="Times New Roman" w:hAnsi="Times New Roman" w:cs="Times New Roman" w:eastAsia="Times New Roman"/>
          <w:color w:val="auto"/>
          <w:spacing w:val="0"/>
          <w:position w:val="0"/>
          <w:sz w:val="24"/>
          <w:shd w:fill="auto" w:val="clear"/>
        </w:rPr>
        <w:t xml:space="preserve">» (611,0 </w:t>
      </w:r>
      <w:r>
        <w:rPr>
          <w:rFonts w:ascii="Times New Roman" w:hAnsi="Times New Roman" w:cs="Times New Roman" w:eastAsia="Times New Roman"/>
          <w:color w:val="auto"/>
          <w:spacing w:val="0"/>
          <w:position w:val="0"/>
          <w:sz w:val="24"/>
          <w:shd w:fill="auto" w:val="clear"/>
        </w:rPr>
        <w:t xml:space="preserve">тис.грн.) і т.д. Серед платників-фізичних осіб найбільше коштів сплатили Тімош М.В.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678,2 </w:t>
      </w:r>
      <w:r>
        <w:rPr>
          <w:rFonts w:ascii="Times New Roman" w:hAnsi="Times New Roman" w:cs="Times New Roman" w:eastAsia="Times New Roman"/>
          <w:color w:val="auto"/>
          <w:spacing w:val="0"/>
          <w:position w:val="0"/>
          <w:sz w:val="24"/>
          <w:shd w:fill="auto" w:val="clear"/>
        </w:rPr>
        <w:t xml:space="preserve">тис.грн., Петльований Р.Ф.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502,7 </w:t>
      </w:r>
      <w:r>
        <w:rPr>
          <w:rFonts w:ascii="Times New Roman" w:hAnsi="Times New Roman" w:cs="Times New Roman" w:eastAsia="Times New Roman"/>
          <w:color w:val="auto"/>
          <w:spacing w:val="0"/>
          <w:position w:val="0"/>
          <w:sz w:val="24"/>
          <w:shd w:fill="auto" w:val="clear"/>
        </w:rPr>
        <w:t xml:space="preserve">тис.грн., Міщенко В.М.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430,4 </w:t>
      </w:r>
      <w:r>
        <w:rPr>
          <w:rFonts w:ascii="Times New Roman" w:hAnsi="Times New Roman" w:cs="Times New Roman" w:eastAsia="Times New Roman"/>
          <w:color w:val="auto"/>
          <w:spacing w:val="0"/>
          <w:position w:val="0"/>
          <w:sz w:val="24"/>
          <w:shd w:fill="auto" w:val="clear"/>
        </w:rPr>
        <w:t xml:space="preserve">тис.грн., Шинкар В.В.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305,8 </w:t>
      </w:r>
      <w:r>
        <w:rPr>
          <w:rFonts w:ascii="Times New Roman" w:hAnsi="Times New Roman" w:cs="Times New Roman" w:eastAsia="Times New Roman"/>
          <w:color w:val="auto"/>
          <w:spacing w:val="0"/>
          <w:position w:val="0"/>
          <w:sz w:val="24"/>
          <w:shd w:fill="auto" w:val="clear"/>
        </w:rPr>
        <w:t xml:space="preserve">тис.грн., Ваколюк О.С.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200,5 </w:t>
      </w:r>
      <w:r>
        <w:rPr>
          <w:rFonts w:ascii="Times New Roman" w:hAnsi="Times New Roman" w:cs="Times New Roman" w:eastAsia="Times New Roman"/>
          <w:color w:val="auto"/>
          <w:spacing w:val="0"/>
          <w:position w:val="0"/>
          <w:sz w:val="24"/>
          <w:shd w:fill="auto" w:val="clear"/>
        </w:rPr>
        <w:t xml:space="preserve">тис.грн. та ін.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Єдиного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податку</w:t>
      </w:r>
      <w:r>
        <w:rPr>
          <w:rFonts w:ascii="Times New Roman" w:hAnsi="Times New Roman" w:cs="Times New Roman" w:eastAsia="Times New Roman"/>
          <w:color w:val="auto"/>
          <w:spacing w:val="0"/>
          <w:position w:val="0"/>
          <w:sz w:val="24"/>
          <w:shd w:fill="auto" w:val="clear"/>
        </w:rPr>
        <w:t xml:space="preserve"> отримано 22 508,2 тис.грн., порівняно з минулорічними надходженнями (20 482,9 тис.грн.) маємо ріст в сумі 2 025,3 тис.грн. або 9,9%. </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Платники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юридичні особи сплатили 2 062,7 тис.грн. єдиного податку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на 5,3 тис.грн. або 0,3% більше від плану та на  185,9 тис.грн. або 9,9% більше ніж в попередньому році.</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Найбільші суми  надійшли від 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Дунаєвецький хлібозавод</w:t>
      </w:r>
      <w:r>
        <w:rPr>
          <w:rFonts w:ascii="Times New Roman" w:hAnsi="Times New Roman" w:cs="Times New Roman" w:eastAsia="Times New Roman"/>
          <w:color w:val="auto"/>
          <w:spacing w:val="0"/>
          <w:position w:val="0"/>
          <w:sz w:val="24"/>
          <w:shd w:fill="auto" w:val="clear"/>
        </w:rPr>
        <w:t xml:space="preserve">» - 242,1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Укрспецтепло-Хмельницький</w:t>
      </w:r>
      <w:r>
        <w:rPr>
          <w:rFonts w:ascii="Times New Roman" w:hAnsi="Times New Roman" w:cs="Times New Roman" w:eastAsia="Times New Roman"/>
          <w:color w:val="auto"/>
          <w:spacing w:val="0"/>
          <w:position w:val="0"/>
          <w:sz w:val="24"/>
          <w:shd w:fill="auto" w:val="clear"/>
        </w:rPr>
        <w:t xml:space="preserve">» - 204,3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Теплосервіс</w:t>
      </w:r>
      <w:r>
        <w:rPr>
          <w:rFonts w:ascii="Times New Roman" w:hAnsi="Times New Roman" w:cs="Times New Roman" w:eastAsia="Times New Roman"/>
          <w:color w:val="auto"/>
          <w:spacing w:val="0"/>
          <w:position w:val="0"/>
          <w:sz w:val="24"/>
          <w:shd w:fill="auto" w:val="clear"/>
        </w:rPr>
        <w:t xml:space="preserve">» - 172,6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Агрохліб</w:t>
      </w:r>
      <w:r>
        <w:rPr>
          <w:rFonts w:ascii="Times New Roman" w:hAnsi="Times New Roman" w:cs="Times New Roman" w:eastAsia="Times New Roman"/>
          <w:color w:val="auto"/>
          <w:spacing w:val="0"/>
          <w:position w:val="0"/>
          <w:sz w:val="24"/>
          <w:shd w:fill="auto" w:val="clear"/>
        </w:rPr>
        <w:t xml:space="preserve">» - 157,2 </w:t>
      </w:r>
      <w:r>
        <w:rPr>
          <w:rFonts w:ascii="Times New Roman" w:hAnsi="Times New Roman" w:cs="Times New Roman" w:eastAsia="Times New Roman"/>
          <w:color w:val="auto"/>
          <w:spacing w:val="0"/>
          <w:position w:val="0"/>
          <w:sz w:val="24"/>
          <w:shd w:fill="auto" w:val="clear"/>
        </w:rPr>
        <w:t xml:space="preserve">тис.грн., Дунаєвецьке РСТ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121,2 </w:t>
      </w:r>
      <w:r>
        <w:rPr>
          <w:rFonts w:ascii="Times New Roman" w:hAnsi="Times New Roman" w:cs="Times New Roman" w:eastAsia="Times New Roman"/>
          <w:color w:val="auto"/>
          <w:spacing w:val="0"/>
          <w:position w:val="0"/>
          <w:sz w:val="24"/>
          <w:shd w:fill="auto" w:val="clear"/>
        </w:rPr>
        <w:t xml:space="preserve">тис.грн. та ін. </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Від фізичних осіб отримано 13 893,8 тис.грн. єдиного податку, що на 393,8 тис.грн. або 2,9% більше від плану; ріст до 2019 року склав 2 058,2 тис.грн. або 17,4%. Суттєво поповнили міський бюджет платники 3 групи, зокрема Петровський А.А. (265,2 тис.грн.), Лунга К.Ю. (219,7 тис.грн.), Загородня В.А. (212,6 тис.грн.), Власов В.В. (206,0 тис.грн.), Бугерко О.А. (202,7 тис.грн.), Небельський В.В. (185,4 тис.грн.), Омелянчук К.О. (173,0 тис.грн.), Хмелюк В.В. (166,8 тис.грн.) та інші.</w:t>
      </w:r>
    </w:p>
    <w:p>
      <w:pPr>
        <w:spacing w:before="0" w:after="24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досягнуто виконання планових призначень по коду 18050500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Єдиний податок з сільськогосподарських товаровиробників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фактичні надходження при плані 7 000,0 тис.грн. склали 6 551,7  тис.грн., тобто 93,6 відсотка або -448,3 тис.грн. до планових призначень у зв’язку з кінцевим терміном його сплати за 4 квартал 2020 року у січні 2021 року. </w:t>
      </w:r>
    </w:p>
    <w:p>
      <w:pPr>
        <w:spacing w:before="3" w:after="160" w:line="276"/>
        <w:ind w:right="17" w:left="14" w:firstLine="526"/>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4"/>
          <w:position w:val="0"/>
          <w:sz w:val="24"/>
          <w:shd w:fill="FFFFFF" w:val="clear"/>
        </w:rPr>
        <w:t xml:space="preserve">Плати за надання адміністративних послуг</w:t>
      </w:r>
      <w:r>
        <w:rPr>
          <w:rFonts w:ascii="Times New Roman" w:hAnsi="Times New Roman" w:cs="Times New Roman" w:eastAsia="Times New Roman"/>
          <w:color w:val="auto"/>
          <w:spacing w:val="4"/>
          <w:position w:val="0"/>
          <w:sz w:val="24"/>
          <w:shd w:fill="FFFFFF" w:val="clear"/>
        </w:rPr>
        <w:t xml:space="preserve">  отримано</w:t>
      </w:r>
      <w:r>
        <w:rPr>
          <w:rFonts w:ascii="Times New Roman" w:hAnsi="Times New Roman" w:cs="Times New Roman" w:eastAsia="Times New Roman"/>
          <w:color w:val="auto"/>
          <w:spacing w:val="0"/>
          <w:position w:val="0"/>
          <w:sz w:val="24"/>
          <w:shd w:fill="FFFFFF" w:val="clear"/>
        </w:rPr>
        <w:t xml:space="preserve"> 2 172,7 тис.грн. -  на 614,3 тис.грн. або 22,0% менше від плану: на 19,6 тис.грн. не виконаний план по адмінзбору за державну реєстрацію речових прав на нерухоме майно, на 797,5 тис.грн.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 платі за надання інших адмінпослуг: причиною є у 2020 році карантинних обмежень, та, в зв’язку з цим, зменшення кількості наданих послуг.</w:t>
      </w:r>
    </w:p>
    <w:p>
      <w:pPr>
        <w:spacing w:before="3" w:after="160" w:line="276"/>
        <w:ind w:right="17" w:left="14" w:firstLine="526"/>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b/>
          <w:i/>
          <w:color w:val="auto"/>
          <w:spacing w:val="4"/>
          <w:position w:val="0"/>
          <w:sz w:val="24"/>
          <w:shd w:fill="FFFFFF" w:val="clear"/>
        </w:rPr>
        <w:t xml:space="preserve">Орендної плати за користування цілісним майновим комплексом</w:t>
      </w:r>
      <w:r>
        <w:rPr>
          <w:rFonts w:ascii="Times New Roman" w:hAnsi="Times New Roman" w:cs="Times New Roman" w:eastAsia="Times New Roman"/>
          <w:color w:val="auto"/>
          <w:spacing w:val="4"/>
          <w:position w:val="0"/>
          <w:sz w:val="24"/>
          <w:shd w:fill="FFFFFF" w:val="clear"/>
        </w:rPr>
        <w:t xml:space="preserve">  надійшло 150,6 тис.грн. План не виконано на 44,4 тис.грн.: причиною є те, що деякі орендарі розірвали договора оренди </w:t>
      </w:r>
      <w:r>
        <w:rPr>
          <w:rFonts w:ascii="Times New Roman" w:hAnsi="Times New Roman" w:cs="Times New Roman" w:eastAsia="Times New Roman"/>
          <w:color w:val="auto"/>
          <w:spacing w:val="4"/>
          <w:position w:val="0"/>
          <w:sz w:val="24"/>
          <w:shd w:fill="FFFFFF" w:val="clear"/>
        </w:rPr>
        <w:t xml:space="preserve">–</w:t>
      </w:r>
      <w:r>
        <w:rPr>
          <w:rFonts w:ascii="Times New Roman" w:hAnsi="Times New Roman" w:cs="Times New Roman" w:eastAsia="Times New Roman"/>
          <w:color w:val="auto"/>
          <w:spacing w:val="4"/>
          <w:position w:val="0"/>
          <w:sz w:val="24"/>
          <w:shd w:fill="FFFFFF" w:val="clear"/>
        </w:rPr>
        <w:t xml:space="preserve"> </w:t>
      </w:r>
      <w:r>
        <w:rPr>
          <w:rFonts w:ascii="Times New Roman" w:hAnsi="Times New Roman" w:cs="Times New Roman" w:eastAsia="Times New Roman"/>
          <w:color w:val="auto"/>
          <w:spacing w:val="4"/>
          <w:position w:val="0"/>
          <w:sz w:val="24"/>
          <w:shd w:fill="FFFFFF" w:val="clear"/>
        </w:rPr>
        <w:t xml:space="preserve">зокрема від ТОВ </w:t>
      </w:r>
      <w:r>
        <w:rPr>
          <w:rFonts w:ascii="Times New Roman" w:hAnsi="Times New Roman" w:cs="Times New Roman" w:eastAsia="Times New Roman"/>
          <w:color w:val="auto"/>
          <w:spacing w:val="4"/>
          <w:position w:val="0"/>
          <w:sz w:val="24"/>
          <w:shd w:fill="FFFFFF" w:val="clear"/>
        </w:rPr>
        <w:t xml:space="preserve">«</w:t>
      </w:r>
      <w:r>
        <w:rPr>
          <w:rFonts w:ascii="Times New Roman" w:hAnsi="Times New Roman" w:cs="Times New Roman" w:eastAsia="Times New Roman"/>
          <w:color w:val="auto"/>
          <w:spacing w:val="4"/>
          <w:position w:val="0"/>
          <w:sz w:val="24"/>
          <w:shd w:fill="FFFFFF" w:val="clear"/>
        </w:rPr>
        <w:t xml:space="preserve">Тепла хата</w:t>
      </w:r>
      <w:r>
        <w:rPr>
          <w:rFonts w:ascii="Times New Roman" w:hAnsi="Times New Roman" w:cs="Times New Roman" w:eastAsia="Times New Roman"/>
          <w:color w:val="auto"/>
          <w:spacing w:val="4"/>
          <w:position w:val="0"/>
          <w:sz w:val="24"/>
          <w:shd w:fill="FFFFFF" w:val="clear"/>
        </w:rPr>
        <w:t xml:space="preserve">» </w:t>
      </w:r>
      <w:r>
        <w:rPr>
          <w:rFonts w:ascii="Times New Roman" w:hAnsi="Times New Roman" w:cs="Times New Roman" w:eastAsia="Times New Roman"/>
          <w:color w:val="auto"/>
          <w:spacing w:val="4"/>
          <w:position w:val="0"/>
          <w:sz w:val="24"/>
          <w:shd w:fill="FFFFFF" w:val="clear"/>
        </w:rPr>
        <w:t xml:space="preserve">не надійшло запланованих 16,3 тис.грн. Також окремі орендарі допустили заборгованість.</w:t>
      </w:r>
    </w:p>
    <w:p>
      <w:pPr>
        <w:spacing w:before="3" w:after="160" w:line="276"/>
        <w:ind w:right="17" w:left="14" w:firstLine="526"/>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Державного мита</w:t>
      </w:r>
      <w:r>
        <w:rPr>
          <w:rFonts w:ascii="Times New Roman" w:hAnsi="Times New Roman" w:cs="Times New Roman" w:eastAsia="Times New Roman"/>
          <w:color w:val="auto"/>
          <w:spacing w:val="0"/>
          <w:position w:val="0"/>
          <w:sz w:val="24"/>
          <w:shd w:fill="FFFFFF" w:val="clear"/>
        </w:rPr>
        <w:t xml:space="preserve"> отримано 15,7 тис.грн.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майже вдвічі маємо зменшення і до минулорічного показника (-14,4 тис.грн.), і  до планових призначень, які формуються на підставі фактичних даних за 2019 рік (-11,9 тис.грн.): протягом останніх декількох років спостерігається зменшення кількості випадків оформлення спадщини і дарування, а також видачі закордонних паспортів.</w:t>
      </w:r>
    </w:p>
    <w:p>
      <w:pPr>
        <w:spacing w:before="3" w:after="160" w:line="276"/>
        <w:ind w:right="17" w:left="14" w:firstLine="526"/>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i/>
          <w:color w:val="auto"/>
          <w:spacing w:val="0"/>
          <w:position w:val="0"/>
          <w:sz w:val="24"/>
          <w:shd w:fill="FFFFFF" w:val="clear"/>
        </w:rPr>
        <w:t xml:space="preserve">Інших надходжень </w:t>
      </w:r>
      <w:r>
        <w:rPr>
          <w:rFonts w:ascii="Times New Roman" w:hAnsi="Times New Roman" w:cs="Times New Roman" w:eastAsia="Times New Roman"/>
          <w:color w:val="auto"/>
          <w:spacing w:val="0"/>
          <w:position w:val="0"/>
          <w:sz w:val="24"/>
          <w:shd w:fill="FFFFFF" w:val="clear"/>
        </w:rPr>
        <w:t xml:space="preserve">(код 24060300) надійшло 64,2 тис.грн.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це повернення фінансування минулих років (13,9 тис.грн.) та кошти грошової застави на місцеві вибори (50,3 тис.грн.).</w:t>
      </w:r>
    </w:p>
    <w:p>
      <w:pPr>
        <w:spacing w:before="3" w:after="160" w:line="276"/>
        <w:ind w:right="17" w:left="14" w:firstLine="526"/>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Значним додатковим фінансовим ресурсом є</w:t>
      </w:r>
      <w:r>
        <w:rPr>
          <w:rFonts w:ascii="Times New Roman" w:hAnsi="Times New Roman" w:cs="Times New Roman" w:eastAsia="Times New Roman"/>
          <w:b/>
          <w:i/>
          <w:color w:val="auto"/>
          <w:spacing w:val="0"/>
          <w:position w:val="0"/>
          <w:sz w:val="24"/>
          <w:shd w:fill="FFFFFF" w:val="clear"/>
        </w:rPr>
        <w:t xml:space="preserve"> кошти за шкоду, що заподіяна на земельних ділянках</w:t>
      </w:r>
      <w:r>
        <w:rPr>
          <w:rFonts w:ascii="Times New Roman" w:hAnsi="Times New Roman" w:cs="Times New Roman" w:eastAsia="Times New Roman"/>
          <w:color w:val="auto"/>
          <w:spacing w:val="0"/>
          <w:position w:val="0"/>
          <w:sz w:val="24"/>
          <w:shd w:fill="FFFFFF" w:val="clear"/>
        </w:rPr>
        <w:t xml:space="preserve"> державної та комунальної власності, які не надані у користування та не передані у власність, внаслідок їх самовільного зайняття -   їх отримано 1 033,7 тис.грн.</w:t>
      </w:r>
      <w:r>
        <w:rPr>
          <w:rFonts w:ascii="Times New Roman" w:hAnsi="Times New Roman" w:cs="Times New Roman" w:eastAsia="Times New Roman"/>
          <w:color w:val="FF000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Завдяки проведеному міською радою якісному моніторингу використання земельних ділянок виявлено 14 користувачів, які поповнили міський бюджет цими додатковими надходженнями. </w:t>
      </w:r>
    </w:p>
    <w:p>
      <w:pPr>
        <w:tabs>
          <w:tab w:val="left" w:pos="0" w:leader="none"/>
        </w:tabs>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Міжбюджетних трансфертів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спеціального фонду</w:t>
      </w:r>
      <w:r>
        <w:rPr>
          <w:rFonts w:ascii="Times New Roman" w:hAnsi="Times New Roman" w:cs="Times New Roman" w:eastAsia="Times New Roman"/>
          <w:color w:val="auto"/>
          <w:spacing w:val="0"/>
          <w:position w:val="0"/>
          <w:sz w:val="24"/>
          <w:shd w:fill="auto" w:val="clear"/>
        </w:rPr>
        <w:t xml:space="preserve"> надійшло 309,2 тис.грн. - це субвенція з обласного бюджету за рахунок залишку коштів освітньої субвенції, що утворився на початок бюджетного періоду. </w:t>
      </w:r>
    </w:p>
    <w:p>
      <w:pPr>
        <w:spacing w:before="3" w:after="160" w:line="276"/>
        <w:ind w:right="17" w:left="14" w:firstLine="526"/>
        <w:jc w:val="both"/>
        <w:rPr>
          <w:rFonts w:ascii="Times New Roman" w:hAnsi="Times New Roman" w:cs="Times New Roman" w:eastAsia="Times New Roman"/>
          <w:color w:val="auto"/>
          <w:spacing w:val="0"/>
          <w:position w:val="0"/>
          <w:sz w:val="24"/>
          <w:shd w:fill="FFFFFF" w:val="clear"/>
        </w:rPr>
      </w:pPr>
    </w:p>
    <w:p>
      <w:pPr>
        <w:spacing w:before="3" w:after="160" w:line="276"/>
        <w:ind w:right="17" w:left="14" w:firstLine="526"/>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Власних доходів спеціального фонду (враховуючи  власні надходження бюджетних установ  в сумі 4 593,6 тис.грн.) отримано 6 021,9 тис.грн.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це на 3 562,7 тис.грн. або 37,2% менше від надходжень 2019 року. </w:t>
      </w:r>
    </w:p>
    <w:p>
      <w:pPr>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Надходження </w:t>
      </w:r>
      <w:r>
        <w:rPr>
          <w:rFonts w:ascii="Times New Roman" w:hAnsi="Times New Roman" w:cs="Times New Roman" w:eastAsia="Times New Roman"/>
          <w:b/>
          <w:i/>
          <w:color w:val="auto"/>
          <w:spacing w:val="0"/>
          <w:position w:val="0"/>
          <w:sz w:val="24"/>
          <w:shd w:fill="auto" w:val="clear"/>
        </w:rPr>
        <w:t xml:space="preserve">екологічного податку</w:t>
      </w:r>
      <w:r>
        <w:rPr>
          <w:rFonts w:ascii="Times New Roman" w:hAnsi="Times New Roman" w:cs="Times New Roman" w:eastAsia="Times New Roman"/>
          <w:color w:val="auto"/>
          <w:spacing w:val="0"/>
          <w:position w:val="0"/>
          <w:sz w:val="24"/>
          <w:shd w:fill="auto" w:val="clear"/>
        </w:rPr>
        <w:t xml:space="preserve"> склали 44,1 тис.грн., що на 2,9 тис.грн. більше планових призначень. У порівнянні з  2019 роком  надходження зросли на 4,7 тис.грн.</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Найбільшими платниками екологічного податку, як і в попередні роки,</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є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Укрспецтепло-Хмельницький</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від підприємства надійшло 5,7 тис.грн. 25-відсоткового податку,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Верест</w:t>
      </w:r>
      <w:r>
        <w:rPr>
          <w:rFonts w:ascii="Times New Roman" w:hAnsi="Times New Roman" w:cs="Times New Roman" w:eastAsia="Times New Roman"/>
          <w:color w:val="auto"/>
          <w:spacing w:val="0"/>
          <w:position w:val="0"/>
          <w:sz w:val="24"/>
          <w:shd w:fill="auto" w:val="clear"/>
        </w:rPr>
        <w:t xml:space="preserve">» - 5,2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Козацька долина</w:t>
      </w:r>
      <w:r>
        <w:rPr>
          <w:rFonts w:ascii="Times New Roman" w:hAnsi="Times New Roman" w:cs="Times New Roman" w:eastAsia="Times New Roman"/>
          <w:color w:val="auto"/>
          <w:spacing w:val="0"/>
          <w:position w:val="0"/>
          <w:sz w:val="24"/>
          <w:shd w:fill="auto" w:val="clear"/>
        </w:rPr>
        <w:t xml:space="preserve">» - 5,1 </w:t>
      </w:r>
      <w:r>
        <w:rPr>
          <w:rFonts w:ascii="Times New Roman" w:hAnsi="Times New Roman" w:cs="Times New Roman" w:eastAsia="Times New Roman"/>
          <w:color w:val="auto"/>
          <w:spacing w:val="0"/>
          <w:position w:val="0"/>
          <w:sz w:val="24"/>
          <w:shd w:fill="auto" w:val="clear"/>
        </w:rPr>
        <w:t xml:space="preserve">тис.грн., 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Ситний двір</w:t>
      </w:r>
      <w:r>
        <w:rPr>
          <w:rFonts w:ascii="Times New Roman" w:hAnsi="Times New Roman" w:cs="Times New Roman" w:eastAsia="Times New Roman"/>
          <w:color w:val="auto"/>
          <w:spacing w:val="0"/>
          <w:position w:val="0"/>
          <w:sz w:val="24"/>
          <w:shd w:fill="auto" w:val="clear"/>
        </w:rPr>
        <w:t xml:space="preserve">» - 5,0 </w:t>
      </w:r>
      <w:r>
        <w:rPr>
          <w:rFonts w:ascii="Times New Roman" w:hAnsi="Times New Roman" w:cs="Times New Roman" w:eastAsia="Times New Roman"/>
          <w:color w:val="auto"/>
          <w:spacing w:val="0"/>
          <w:position w:val="0"/>
          <w:sz w:val="24"/>
          <w:shd w:fill="auto" w:val="clear"/>
        </w:rPr>
        <w:t xml:space="preserve">тис.грн., ФГ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Подільська марка</w:t>
      </w:r>
      <w:r>
        <w:rPr>
          <w:rFonts w:ascii="Times New Roman" w:hAnsi="Times New Roman" w:cs="Times New Roman" w:eastAsia="Times New Roman"/>
          <w:color w:val="auto"/>
          <w:spacing w:val="0"/>
          <w:position w:val="0"/>
          <w:sz w:val="24"/>
          <w:shd w:fill="auto" w:val="clear"/>
        </w:rPr>
        <w:t xml:space="preserve">» - 4,5 </w:t>
      </w:r>
      <w:r>
        <w:rPr>
          <w:rFonts w:ascii="Times New Roman" w:hAnsi="Times New Roman" w:cs="Times New Roman" w:eastAsia="Times New Roman"/>
          <w:color w:val="auto"/>
          <w:spacing w:val="0"/>
          <w:position w:val="0"/>
          <w:sz w:val="24"/>
          <w:shd w:fill="auto" w:val="clear"/>
        </w:rPr>
        <w:t xml:space="preserve">тис.грн. та ін.</w:t>
      </w:r>
    </w:p>
    <w:p>
      <w:pPr>
        <w:spacing w:before="3" w:after="160" w:line="276"/>
        <w:ind w:right="17" w:left="14" w:firstLine="526"/>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Від </w:t>
      </w:r>
      <w:r>
        <w:rPr>
          <w:rFonts w:ascii="Times New Roman" w:hAnsi="Times New Roman" w:cs="Times New Roman" w:eastAsia="Times New Roman"/>
          <w:b/>
          <w:i/>
          <w:color w:val="auto"/>
          <w:spacing w:val="0"/>
          <w:position w:val="0"/>
          <w:sz w:val="24"/>
          <w:shd w:fill="FFFFFF" w:val="clear"/>
        </w:rPr>
        <w:t xml:space="preserve">продажу земельних ділянок несільськогосподарського призначення</w:t>
      </w:r>
      <w:r>
        <w:rPr>
          <w:rFonts w:ascii="Times New Roman" w:hAnsi="Times New Roman" w:cs="Times New Roman" w:eastAsia="Times New Roman"/>
          <w:color w:val="auto"/>
          <w:spacing w:val="0"/>
          <w:position w:val="0"/>
          <w:sz w:val="24"/>
          <w:shd w:fill="FFFFFF" w:val="clear"/>
        </w:rPr>
        <w:t xml:space="preserve"> отримано 1 113,2 тис.грн.</w:t>
      </w:r>
    </w:p>
    <w:p>
      <w:pPr>
        <w:spacing w:before="3" w:after="160" w:line="276"/>
        <w:ind w:right="17" w:left="14" w:firstLine="526"/>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b/>
          <w:i/>
          <w:color w:val="auto"/>
          <w:spacing w:val="1"/>
          <w:position w:val="0"/>
          <w:sz w:val="24"/>
          <w:shd w:fill="FFFFFF" w:val="clear"/>
        </w:rPr>
        <w:t xml:space="preserve">Надходження коштів пайової участі у розвитку інфраструктури населеного пункту</w:t>
      </w:r>
      <w:r>
        <w:rPr>
          <w:rFonts w:ascii="Times New Roman" w:hAnsi="Times New Roman" w:cs="Times New Roman" w:eastAsia="Times New Roman"/>
          <w:b/>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склали 213,8 тис.грн., зокрема від Грубій Л.О. та Грабовської О.М. (будівництво магазину та офісних приміщень в м.Дунаївці) </w:t>
      </w:r>
      <w:r>
        <w:rPr>
          <w:rFonts w:ascii="Times New Roman" w:hAnsi="Times New Roman" w:cs="Times New Roman" w:eastAsia="Times New Roman"/>
          <w:color w:val="auto"/>
          <w:spacing w:val="1"/>
          <w:position w:val="0"/>
          <w:sz w:val="24"/>
          <w:shd w:fill="FFFFFF" w:val="clear"/>
        </w:rPr>
        <w:t xml:space="preserve">–</w:t>
      </w:r>
      <w:r>
        <w:rPr>
          <w:rFonts w:ascii="Times New Roman" w:hAnsi="Times New Roman" w:cs="Times New Roman" w:eastAsia="Times New Roman"/>
          <w:color w:val="auto"/>
          <w:spacing w:val="1"/>
          <w:position w:val="0"/>
          <w:sz w:val="24"/>
          <w:shd w:fill="FFFFFF" w:val="clear"/>
        </w:rPr>
        <w:t xml:space="preserve"> 155,9 </w:t>
      </w:r>
      <w:r>
        <w:rPr>
          <w:rFonts w:ascii="Times New Roman" w:hAnsi="Times New Roman" w:cs="Times New Roman" w:eastAsia="Times New Roman"/>
          <w:color w:val="auto"/>
          <w:spacing w:val="1"/>
          <w:position w:val="0"/>
          <w:sz w:val="24"/>
          <w:shd w:fill="FFFFFF" w:val="clear"/>
        </w:rPr>
        <w:t xml:space="preserve">тис.грн., МПП </w:t>
      </w:r>
      <w:r>
        <w:rPr>
          <w:rFonts w:ascii="Times New Roman" w:hAnsi="Times New Roman" w:cs="Times New Roman" w:eastAsia="Times New Roman"/>
          <w:color w:val="auto"/>
          <w:spacing w:val="1"/>
          <w:position w:val="0"/>
          <w:sz w:val="24"/>
          <w:shd w:fill="FFFFFF" w:val="clear"/>
        </w:rPr>
        <w:t xml:space="preserve">«</w:t>
      </w:r>
      <w:r>
        <w:rPr>
          <w:rFonts w:ascii="Times New Roman" w:hAnsi="Times New Roman" w:cs="Times New Roman" w:eastAsia="Times New Roman"/>
          <w:color w:val="auto"/>
          <w:spacing w:val="1"/>
          <w:position w:val="0"/>
          <w:sz w:val="24"/>
          <w:shd w:fill="FFFFFF" w:val="clear"/>
        </w:rPr>
        <w:t xml:space="preserve">Алмаз</w:t>
      </w:r>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будівництво магазину в м.Дунаївці) </w:t>
      </w:r>
      <w:r>
        <w:rPr>
          <w:rFonts w:ascii="Times New Roman" w:hAnsi="Times New Roman" w:cs="Times New Roman" w:eastAsia="Times New Roman"/>
          <w:color w:val="auto"/>
          <w:spacing w:val="1"/>
          <w:position w:val="0"/>
          <w:sz w:val="24"/>
          <w:shd w:fill="FFFFFF" w:val="clear"/>
        </w:rPr>
        <w:t xml:space="preserve">–</w:t>
      </w:r>
      <w:r>
        <w:rPr>
          <w:rFonts w:ascii="Times New Roman" w:hAnsi="Times New Roman" w:cs="Times New Roman" w:eastAsia="Times New Roman"/>
          <w:color w:val="auto"/>
          <w:spacing w:val="1"/>
          <w:position w:val="0"/>
          <w:sz w:val="24"/>
          <w:shd w:fill="FFFFFF" w:val="clear"/>
        </w:rPr>
        <w:t xml:space="preserve"> 24,6 </w:t>
      </w:r>
      <w:r>
        <w:rPr>
          <w:rFonts w:ascii="Times New Roman" w:hAnsi="Times New Roman" w:cs="Times New Roman" w:eastAsia="Times New Roman"/>
          <w:color w:val="auto"/>
          <w:spacing w:val="1"/>
          <w:position w:val="0"/>
          <w:sz w:val="24"/>
          <w:shd w:fill="FFFFFF" w:val="clear"/>
        </w:rPr>
        <w:t xml:space="preserve">тис.грн.,  Свіщова О.В. (реконструкція магазину непродовольчих товарів м.Дунаївці) </w:t>
      </w:r>
      <w:r>
        <w:rPr>
          <w:rFonts w:ascii="Times New Roman" w:hAnsi="Times New Roman" w:cs="Times New Roman" w:eastAsia="Times New Roman"/>
          <w:color w:val="auto"/>
          <w:spacing w:val="1"/>
          <w:position w:val="0"/>
          <w:sz w:val="24"/>
          <w:shd w:fill="FFFFFF" w:val="clear"/>
        </w:rPr>
        <w:t xml:space="preserve">–</w:t>
      </w:r>
      <w:r>
        <w:rPr>
          <w:rFonts w:ascii="Times New Roman" w:hAnsi="Times New Roman" w:cs="Times New Roman" w:eastAsia="Times New Roman"/>
          <w:color w:val="auto"/>
          <w:spacing w:val="1"/>
          <w:position w:val="0"/>
          <w:sz w:val="24"/>
          <w:shd w:fill="FFFFFF" w:val="clear"/>
        </w:rPr>
        <w:t xml:space="preserve"> 16,5 </w:t>
      </w:r>
      <w:r>
        <w:rPr>
          <w:rFonts w:ascii="Times New Roman" w:hAnsi="Times New Roman" w:cs="Times New Roman" w:eastAsia="Times New Roman"/>
          <w:color w:val="auto"/>
          <w:spacing w:val="1"/>
          <w:position w:val="0"/>
          <w:sz w:val="24"/>
          <w:shd w:fill="FFFFFF" w:val="clear"/>
        </w:rPr>
        <w:t xml:space="preserve">тис.грн., Шах О.М. (реконструкція житлового будинку садибного типу) </w:t>
      </w:r>
      <w:r>
        <w:rPr>
          <w:rFonts w:ascii="Times New Roman" w:hAnsi="Times New Roman" w:cs="Times New Roman" w:eastAsia="Times New Roman"/>
          <w:color w:val="auto"/>
          <w:spacing w:val="1"/>
          <w:position w:val="0"/>
          <w:sz w:val="24"/>
          <w:shd w:fill="FFFFFF" w:val="clear"/>
        </w:rPr>
        <w:t xml:space="preserve">–</w:t>
      </w:r>
      <w:r>
        <w:rPr>
          <w:rFonts w:ascii="Times New Roman" w:hAnsi="Times New Roman" w:cs="Times New Roman" w:eastAsia="Times New Roman"/>
          <w:color w:val="auto"/>
          <w:spacing w:val="1"/>
          <w:position w:val="0"/>
          <w:sz w:val="24"/>
          <w:shd w:fill="FFFFFF" w:val="clear"/>
        </w:rPr>
        <w:t xml:space="preserve"> 12,7 </w:t>
      </w:r>
      <w:r>
        <w:rPr>
          <w:rFonts w:ascii="Times New Roman" w:hAnsi="Times New Roman" w:cs="Times New Roman" w:eastAsia="Times New Roman"/>
          <w:color w:val="auto"/>
          <w:spacing w:val="1"/>
          <w:position w:val="0"/>
          <w:sz w:val="24"/>
          <w:shd w:fill="FFFFFF" w:val="clear"/>
        </w:rPr>
        <w:t xml:space="preserve">тис.грн., Тодераша Ф.Г. (реконструкція магазину з кафе м.Дунаївці) </w:t>
      </w:r>
      <w:r>
        <w:rPr>
          <w:rFonts w:ascii="Times New Roman" w:hAnsi="Times New Roman" w:cs="Times New Roman" w:eastAsia="Times New Roman"/>
          <w:color w:val="auto"/>
          <w:spacing w:val="1"/>
          <w:position w:val="0"/>
          <w:sz w:val="24"/>
          <w:shd w:fill="FFFFFF" w:val="clear"/>
        </w:rPr>
        <w:t xml:space="preserve">–</w:t>
      </w:r>
      <w:r>
        <w:rPr>
          <w:rFonts w:ascii="Times New Roman" w:hAnsi="Times New Roman" w:cs="Times New Roman" w:eastAsia="Times New Roman"/>
          <w:color w:val="auto"/>
          <w:spacing w:val="1"/>
          <w:position w:val="0"/>
          <w:sz w:val="24"/>
          <w:shd w:fill="FFFFFF" w:val="clear"/>
        </w:rPr>
        <w:t xml:space="preserve"> 4,1 </w:t>
      </w:r>
      <w:r>
        <w:rPr>
          <w:rFonts w:ascii="Times New Roman" w:hAnsi="Times New Roman" w:cs="Times New Roman" w:eastAsia="Times New Roman"/>
          <w:color w:val="auto"/>
          <w:spacing w:val="1"/>
          <w:position w:val="0"/>
          <w:sz w:val="24"/>
          <w:shd w:fill="FFFFFF" w:val="clear"/>
        </w:rPr>
        <w:t xml:space="preserve">тис.грн.</w:t>
      </w:r>
    </w:p>
    <w:p>
      <w:pPr>
        <w:spacing w:before="3" w:after="160" w:line="276"/>
        <w:ind w:right="17" w:left="14" w:firstLine="526"/>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Власні надходження</w:t>
      </w:r>
      <w:r>
        <w:rPr>
          <w:rFonts w:ascii="Times New Roman" w:hAnsi="Times New Roman" w:cs="Times New Roman" w:eastAsia="Times New Roman"/>
          <w:color w:val="auto"/>
          <w:spacing w:val="0"/>
          <w:position w:val="0"/>
          <w:sz w:val="24"/>
          <w:shd w:fill="FFFFFF" w:val="clear"/>
        </w:rPr>
        <w:t xml:space="preserve"> бюджетних установ склали</w:t>
      </w:r>
      <w:r>
        <w:rPr>
          <w:rFonts w:ascii="Times New Roman" w:hAnsi="Times New Roman" w:cs="Times New Roman" w:eastAsia="Times New Roman"/>
          <w:color w:val="FF000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4 593,6 тис. грн.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порівняно з показником 2019 року, які становили 8 073,6 тис.грн. маємо суттєве зменшення - на 3 480,0 тис.грн.:  найбільше зменшилися надходження благодійних внесків та дарунків - на 3 198,9 тис.грн.; також у зв’язку із карантинними обмеженнями та запровадженням дистанційного навчання недоотримано 982,5 тис.грн. плати за послуги бюджетних установ, основною складовою якої є батьківська плата -   фактичні надходження склали 2 693,1 тис.грн., тоді як в 2019 році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3 675,6 </w:t>
      </w:r>
      <w:r>
        <w:rPr>
          <w:rFonts w:ascii="Times New Roman" w:hAnsi="Times New Roman" w:cs="Times New Roman" w:eastAsia="Times New Roman"/>
          <w:color w:val="auto"/>
          <w:spacing w:val="0"/>
          <w:position w:val="0"/>
          <w:sz w:val="24"/>
          <w:shd w:fill="FFFFFF" w:val="clear"/>
        </w:rPr>
        <w:t xml:space="preserve">тис.грн.</w:t>
      </w:r>
    </w:p>
    <w:p>
      <w:pPr>
        <w:tabs>
          <w:tab w:val="left" w:pos="851" w:leader="none"/>
        </w:tabs>
        <w:spacing w:before="0" w:after="160" w:line="276"/>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ІІІ. Видатки та заборгованість</w:t>
      </w:r>
    </w:p>
    <w:p>
      <w:pPr>
        <w:tabs>
          <w:tab w:val="left" w:pos="720" w:leader="none"/>
        </w:tabs>
        <w:spacing w:before="0" w:after="16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загального фонду міського бюджету на 2020 рік заплановані в сумі  242 256,5 тис.грн.,  фактичне виконання становить 231 349,9 тис.грн.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95,5% до уточненого річного плану. Видаткова частина спеціального фонду виконана на 88,5% до уточнених бюджетних призначень: уточнений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593,8  </w:t>
      </w:r>
      <w:r>
        <w:rPr>
          <w:rFonts w:ascii="Times New Roman" w:hAnsi="Times New Roman" w:cs="Times New Roman" w:eastAsia="Times New Roman"/>
          <w:color w:val="auto"/>
          <w:spacing w:val="0"/>
          <w:position w:val="0"/>
          <w:sz w:val="24"/>
          <w:shd w:fill="auto" w:val="clear"/>
        </w:rPr>
        <w:t xml:space="preserve">тис.грн., факт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344,3 </w:t>
      </w:r>
      <w:r>
        <w:rPr>
          <w:rFonts w:ascii="Times New Roman" w:hAnsi="Times New Roman" w:cs="Times New Roman" w:eastAsia="Times New Roman"/>
          <w:color w:val="auto"/>
          <w:spacing w:val="0"/>
          <w:position w:val="0"/>
          <w:sz w:val="24"/>
          <w:shd w:fill="auto" w:val="clear"/>
        </w:rPr>
        <w:t xml:space="preserve">тис.грн.</w:t>
      </w:r>
    </w:p>
    <w:p>
      <w:pPr>
        <w:keepNext w:val="true"/>
        <w:tabs>
          <w:tab w:val="left" w:pos="851" w:leader="none"/>
        </w:tabs>
        <w:spacing w:before="0" w:after="160" w:line="276"/>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Державне управління</w:t>
      </w:r>
    </w:p>
    <w:p>
      <w:pPr>
        <w:keepNext w:val="true"/>
        <w:tabs>
          <w:tab w:val="left" w:pos="851" w:leader="none"/>
        </w:tabs>
        <w:spacing w:before="0" w:after="16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утримання апарату міської ради, управління освіти, молоді та спорту, управління культури, туризму та інформації, фінансового управління, відділу праці та соціального захисту населення, центру надання адміністративних послуг, старост та діловодів із загального фонду міського бюджету використано 22 539,8 тис.грн.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97,0 відсотка до уточненого річного плану, який становить 23 242,3 тис.грн. На заробітну плату та нарахування  спрямовано 20 702,4 тис.грн., що становить 84,0% в загальній сумі видатків на управління, на оплату комунальних послуг та енергоносіїв використано 507,7 тис.грн.</w:t>
      </w:r>
    </w:p>
    <w:p>
      <w:pPr>
        <w:tabs>
          <w:tab w:val="left" w:pos="851" w:leader="none"/>
        </w:tabs>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Заробітна плата, енергоносії та комунальні послуги профінансовано в повному обсязі. </w:t>
      </w:r>
    </w:p>
    <w:p>
      <w:pPr>
        <w:tabs>
          <w:tab w:val="left" w:pos="567"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Крім цього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організацію та проведення місцевих виборів використано 2 118,8 тис.грн. , в тому числі 2 058,6 тис.грн. - за рахунок субвенції з державного бюджету та 60,2 тис.грн. - за рахунок міського бюджету (забезпечення протиепідемічних заходів).</w:t>
      </w:r>
    </w:p>
    <w:p>
      <w:pPr>
        <w:tabs>
          <w:tab w:val="left" w:pos="851" w:leader="none"/>
        </w:tabs>
        <w:spacing w:before="0" w:after="16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Освіта</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фінансування освітянської галузі з загального фонду міського бюджету використано 150 413,9 тис.грн., в тому числі за рахунок:</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освітньої субвенції з державного бюджету місцевим бюджетам профінансовані видатки в сумі 72 201,4 тис.грн. (залишок станом на 01.01.2021 року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 </w:t>
      </w:r>
      <w:r>
        <w:rPr>
          <w:rFonts w:ascii="Times New Roman" w:hAnsi="Times New Roman" w:cs="Times New Roman" w:eastAsia="Times New Roman"/>
          <w:color w:val="auto"/>
          <w:spacing w:val="0"/>
          <w:position w:val="0"/>
          <w:sz w:val="24"/>
          <w:shd w:fill="auto" w:val="clear"/>
        </w:rPr>
        <w:t xml:space="preserve">тис.грн.), </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дотації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509,4 </w:t>
      </w:r>
      <w:r>
        <w:rPr>
          <w:rFonts w:ascii="Times New Roman" w:hAnsi="Times New Roman" w:cs="Times New Roman" w:eastAsia="Times New Roman"/>
          <w:color w:val="auto"/>
          <w:spacing w:val="0"/>
          <w:position w:val="0"/>
          <w:sz w:val="24"/>
          <w:shd w:fill="auto" w:val="clear"/>
        </w:rPr>
        <w:t xml:space="preserve">тис.грн., </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субвенції з обласного бюджету на здійснення переданих видатків у сфері освіти за рахунок коштів освітньої субвенції з державного бюджету (інклюзивно-ресурсний центр)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848,5 </w:t>
      </w:r>
      <w:r>
        <w:rPr>
          <w:rFonts w:ascii="Times New Roman" w:hAnsi="Times New Roman" w:cs="Times New Roman" w:eastAsia="Times New Roman"/>
          <w:color w:val="auto"/>
          <w:spacing w:val="0"/>
          <w:position w:val="0"/>
          <w:sz w:val="24"/>
          <w:shd w:fill="auto" w:val="clear"/>
        </w:rPr>
        <w:t xml:space="preserve">тис.грн. (залишок на 01.01.2021 року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266,6 </w:t>
      </w:r>
      <w:r>
        <w:rPr>
          <w:rFonts w:ascii="Times New Roman" w:hAnsi="Times New Roman" w:cs="Times New Roman" w:eastAsia="Times New Roman"/>
          <w:color w:val="auto"/>
          <w:spacing w:val="0"/>
          <w:position w:val="0"/>
          <w:sz w:val="24"/>
          <w:shd w:fill="auto" w:val="clear"/>
        </w:rPr>
        <w:t xml:space="preserve">тис.грн.), </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субвенції з обласного бюджету на забезпечення якісної, сучасної та доступної загальної середньої освіти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Нова українська школа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рахунок відповідної субвенції з державного бюджету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421,8 </w:t>
      </w:r>
      <w:r>
        <w:rPr>
          <w:rFonts w:ascii="Times New Roman" w:hAnsi="Times New Roman" w:cs="Times New Roman" w:eastAsia="Times New Roman"/>
          <w:color w:val="auto"/>
          <w:spacing w:val="0"/>
          <w:position w:val="0"/>
          <w:sz w:val="24"/>
          <w:shd w:fill="auto" w:val="clear"/>
        </w:rPr>
        <w:t xml:space="preserve">тис.грн. (крім цього 411,4 тис.грн. використанопо спеціальному фонду), </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субвенції з обласного бюджету на надання державної підтримки особам з особливими освітніми потребами за рахунок відповідної субвенції з держбюджету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13,1 </w:t>
      </w:r>
      <w:r>
        <w:rPr>
          <w:rFonts w:ascii="Times New Roman" w:hAnsi="Times New Roman" w:cs="Times New Roman" w:eastAsia="Times New Roman"/>
          <w:color w:val="auto"/>
          <w:spacing w:val="0"/>
          <w:position w:val="0"/>
          <w:sz w:val="24"/>
          <w:shd w:fill="auto" w:val="clear"/>
        </w:rPr>
        <w:t xml:space="preserve">тис.грн.,</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іншої субвенції з бюджетів громад району на співфінансування  методичного кабінету управління освіти міської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82,3 </w:t>
      </w:r>
      <w:r>
        <w:rPr>
          <w:rFonts w:ascii="Times New Roman" w:hAnsi="Times New Roman" w:cs="Times New Roman" w:eastAsia="Times New Roman"/>
          <w:color w:val="auto"/>
          <w:spacing w:val="0"/>
          <w:position w:val="0"/>
          <w:sz w:val="24"/>
          <w:shd w:fill="auto" w:val="clear"/>
        </w:rPr>
        <w:t xml:space="preserve">тис.грн., 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Інклюзивно-ресурсний центр</w:t>
      </w:r>
      <w:r>
        <w:rPr>
          <w:rFonts w:ascii="Times New Roman" w:hAnsi="Times New Roman" w:cs="Times New Roman" w:eastAsia="Times New Roman"/>
          <w:color w:val="auto"/>
          <w:spacing w:val="0"/>
          <w:position w:val="0"/>
          <w:sz w:val="24"/>
          <w:shd w:fill="auto" w:val="clear"/>
        </w:rPr>
        <w:t xml:space="preserve">» -  40,0 </w:t>
      </w:r>
      <w:r>
        <w:rPr>
          <w:rFonts w:ascii="Times New Roman" w:hAnsi="Times New Roman" w:cs="Times New Roman" w:eastAsia="Times New Roman"/>
          <w:color w:val="auto"/>
          <w:spacing w:val="0"/>
          <w:position w:val="0"/>
          <w:sz w:val="24"/>
          <w:shd w:fill="auto" w:val="clear"/>
        </w:rPr>
        <w:t xml:space="preserve">тис.грн. та 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Дунаєвецька дитяча школа мистецтв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212,9 </w:t>
      </w:r>
      <w:r>
        <w:rPr>
          <w:rFonts w:ascii="Times New Roman" w:hAnsi="Times New Roman" w:cs="Times New Roman" w:eastAsia="Times New Roman"/>
          <w:color w:val="auto"/>
          <w:spacing w:val="0"/>
          <w:position w:val="0"/>
          <w:sz w:val="24"/>
          <w:shd w:fill="auto" w:val="clear"/>
        </w:rPr>
        <w:t xml:space="preserve">тис.грн. (в тому числі з бюджету Дунаєвецької селищної тг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315,2 </w:t>
      </w:r>
      <w:r>
        <w:rPr>
          <w:rFonts w:ascii="Times New Roman" w:hAnsi="Times New Roman" w:cs="Times New Roman" w:eastAsia="Times New Roman"/>
          <w:color w:val="auto"/>
          <w:spacing w:val="0"/>
          <w:position w:val="0"/>
          <w:sz w:val="24"/>
          <w:shd w:fill="auto" w:val="clear"/>
        </w:rPr>
        <w:t xml:space="preserve">тис.грн., Маківської сільської тг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20,0 </w:t>
      </w:r>
      <w:r>
        <w:rPr>
          <w:rFonts w:ascii="Times New Roman" w:hAnsi="Times New Roman" w:cs="Times New Roman" w:eastAsia="Times New Roman"/>
          <w:color w:val="auto"/>
          <w:spacing w:val="0"/>
          <w:position w:val="0"/>
          <w:sz w:val="24"/>
          <w:shd w:fill="auto" w:val="clear"/>
        </w:rPr>
        <w:t xml:space="preserve">тис.грн.),</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залишку освітньої субвенції, утвореного в міському бюджеті станом на 01.01.2020 року,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151,2 </w:t>
      </w:r>
      <w:r>
        <w:rPr>
          <w:rFonts w:ascii="Times New Roman" w:hAnsi="Times New Roman" w:cs="Times New Roman" w:eastAsia="Times New Roman"/>
          <w:color w:val="auto"/>
          <w:spacing w:val="0"/>
          <w:position w:val="0"/>
          <w:sz w:val="24"/>
          <w:shd w:fill="auto" w:val="clear"/>
        </w:rPr>
        <w:t xml:space="preserve">тис.грн., </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залишку субвенції на здійснення переданих видатків у сфері освіти за рахунок коштів освітньої субвенції з державного бюджету, утвореного в міському бюджеті станом на 01.01.2020 року (інклюзивно-ресурсний центр)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54,9 </w:t>
      </w:r>
      <w:r>
        <w:rPr>
          <w:rFonts w:ascii="Times New Roman" w:hAnsi="Times New Roman" w:cs="Times New Roman" w:eastAsia="Times New Roman"/>
          <w:color w:val="auto"/>
          <w:spacing w:val="0"/>
          <w:position w:val="0"/>
          <w:sz w:val="24"/>
          <w:shd w:fill="auto" w:val="clear"/>
        </w:rPr>
        <w:t xml:space="preserve">тис.грн., </w:t>
      </w:r>
    </w:p>
    <w:p>
      <w:pPr>
        <w:numPr>
          <w:ilvl w:val="0"/>
          <w:numId w:val="155"/>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коштів міського бюджету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878,4 </w:t>
      </w:r>
      <w:r>
        <w:rPr>
          <w:rFonts w:ascii="Times New Roman" w:hAnsi="Times New Roman" w:cs="Times New Roman" w:eastAsia="Times New Roman"/>
          <w:color w:val="auto"/>
          <w:spacing w:val="0"/>
          <w:position w:val="0"/>
          <w:sz w:val="24"/>
          <w:shd w:fill="auto" w:val="clear"/>
        </w:rPr>
        <w:t xml:space="preserve">тис.грн. </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Кошти спрямовано на утримання дошкільних та загальноосвітніх навчальних закладів, позашкільних навчальних закладів, методичного кабінету, 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Центр професійного розвитку педагогічних працівників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Інклюзивно-ресурсний центр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Дунаєвецька дитяча школа мистецтв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централізованої бухгалтерії та групи централізованого обслуговування.</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p>
    <w:p>
      <w:pPr>
        <w:tabs>
          <w:tab w:val="left" w:pos="851" w:leader="none"/>
        </w:tabs>
        <w:spacing w:before="0" w:after="16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розрізі кодів видатки склали:</w:t>
      </w:r>
    </w:p>
    <w:tbl>
      <w:tblPr>
        <w:tblInd w:w="2" w:type="dxa"/>
      </w:tblPr>
      <w:tblGrid>
        <w:gridCol w:w="5209"/>
        <w:gridCol w:w="1701"/>
        <w:gridCol w:w="1701"/>
        <w:gridCol w:w="1701"/>
      </w:tblGrid>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Уточнений річний  план, тис.грн.</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Фактично виконано, тис.грн.</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 уточненого річного плану</w:t>
            </w:r>
          </w:p>
        </w:tc>
      </w:tr>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дошкільної освіти</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28 814,8</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27 111,0</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94,1</w:t>
            </w:r>
          </w:p>
        </w:tc>
      </w:tr>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загальної середньої освіти закладами загальної середньої освіти (у тому числі з дошкільними підрозділами (відділеннями, групами))</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110 026,4</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105 917,0</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96,3</w:t>
            </w:r>
          </w:p>
        </w:tc>
      </w:tr>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позашкільної освіти закладами позашкільної освіти, заходи із позашкільної роботи з дітьми</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5 593,6</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5 087,4</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91,0</w:t>
            </w:r>
          </w:p>
        </w:tc>
      </w:tr>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спеціальної освіти мистецькими школами</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7 471,6</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7 322,7</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98,0</w:t>
            </w:r>
          </w:p>
        </w:tc>
      </w:tr>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Методичне забезпечення діяльності закладів освіти</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624,9</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624,9</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100,0</w:t>
            </w:r>
          </w:p>
        </w:tc>
      </w:tr>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Інші програми, заклади та заходи у сфері освіти </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3 574,8</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3 364,3</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94,1</w:t>
            </w:r>
          </w:p>
        </w:tc>
      </w:tr>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Забезпечення діяльності інклюзивно-ресурсних центрів</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1 295,4</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986,6</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76,2</w:t>
            </w:r>
          </w:p>
        </w:tc>
      </w:tr>
      <w:tr>
        <w:trPr>
          <w:trHeight w:val="1" w:hRule="atLeast"/>
          <w:jc w:val="left"/>
        </w:trPr>
        <w:tc>
          <w:tcPr>
            <w:tcW w:w="520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РАЗОМ</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157 401,5</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150 413,9</w:t>
            </w:r>
          </w:p>
        </w:tc>
        <w:tc>
          <w:tcPr>
            <w:tcW w:w="17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center"/>
          </w:tcPr>
          <w:p>
            <w:pPr>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95,6</w:t>
            </w:r>
          </w:p>
        </w:tc>
      </w:tr>
    </w:tbl>
    <w:p>
      <w:pPr>
        <w:spacing w:before="0" w:after="160" w:line="276"/>
        <w:ind w:right="0" w:left="0" w:firstLine="0"/>
        <w:jc w:val="both"/>
        <w:rPr>
          <w:rFonts w:ascii="Times New Roman" w:hAnsi="Times New Roman" w:cs="Times New Roman" w:eastAsia="Times New Roman"/>
          <w:color w:val="FF0000"/>
          <w:spacing w:val="0"/>
          <w:position w:val="0"/>
          <w:sz w:val="24"/>
          <w:shd w:fill="auto" w:val="clear"/>
        </w:rPr>
      </w:pPr>
    </w:p>
    <w:p>
      <w:pPr>
        <w:spacing w:before="0" w:after="16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заробітну плату та нарахування на неї спрямовано 130 908,4 тис.грн. (87,0 відсотків всіх галузевих видатків), на оплату енергоносіїв та комунальних послуг - 9 695,1 тис.грн. (6,4%).</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спеціального фонду по установах освіти склали 5 460,9 тис.грн., в тому числі поточні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974,7 </w:t>
      </w:r>
      <w:r>
        <w:rPr>
          <w:rFonts w:ascii="Times New Roman" w:hAnsi="Times New Roman" w:cs="Times New Roman" w:eastAsia="Times New Roman"/>
          <w:color w:val="auto"/>
          <w:spacing w:val="0"/>
          <w:position w:val="0"/>
          <w:sz w:val="24"/>
          <w:shd w:fill="auto" w:val="clear"/>
        </w:rPr>
        <w:t xml:space="preserve">тис.грн., капітальні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486,2 </w:t>
      </w:r>
      <w:r>
        <w:rPr>
          <w:rFonts w:ascii="Times New Roman" w:hAnsi="Times New Roman" w:cs="Times New Roman" w:eastAsia="Times New Roman"/>
          <w:color w:val="auto"/>
          <w:spacing w:val="0"/>
          <w:position w:val="0"/>
          <w:sz w:val="24"/>
          <w:shd w:fill="auto" w:val="clear"/>
        </w:rPr>
        <w:t xml:space="preserve">тис.грн., в тому числі:</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тис.грн.)</w:t>
      </w:r>
    </w:p>
    <w:tbl>
      <w:tblPr>
        <w:tblInd w:w="2" w:type="dxa"/>
      </w:tblPr>
      <w:tblGrid>
        <w:gridCol w:w="4743"/>
        <w:gridCol w:w="1627"/>
        <w:gridCol w:w="1613"/>
        <w:gridCol w:w="1644"/>
      </w:tblGrid>
      <w:tr>
        <w:trPr>
          <w:trHeight w:val="736" w:hRule="auto"/>
          <w:jc w:val="left"/>
        </w:trPr>
        <w:tc>
          <w:tcPr>
            <w:tcW w:w="4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rFonts w:ascii="Calibri" w:hAnsi="Calibri" w:cs="Calibri" w:eastAsia="Calibri"/>
                <w:color w:val="auto"/>
                <w:spacing w:val="0"/>
                <w:position w:val="0"/>
                <w:sz w:val="22"/>
                <w:shd w:fill="auto" w:val="clear"/>
              </w:rPr>
            </w:pPr>
          </w:p>
        </w:tc>
        <w:tc>
          <w:tcPr>
            <w:tcW w:w="1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Видатки, всього</w:t>
            </w: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 т.ч. поточні видатки</w:t>
            </w:r>
          </w:p>
        </w:tc>
        <w:tc>
          <w:tcPr>
            <w:tcW w:w="1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капітальні видатки</w:t>
            </w:r>
          </w:p>
        </w:tc>
      </w:tr>
      <w:tr>
        <w:trPr>
          <w:trHeight w:val="1" w:hRule="atLeast"/>
          <w:jc w:val="left"/>
        </w:trPr>
        <w:tc>
          <w:tcPr>
            <w:tcW w:w="4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дошкільної освіти</w:t>
            </w:r>
          </w:p>
        </w:tc>
        <w:tc>
          <w:tcPr>
            <w:tcW w:w="1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1 195,0</w:t>
            </w: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1 188,1</w:t>
            </w:r>
          </w:p>
        </w:tc>
        <w:tc>
          <w:tcPr>
            <w:tcW w:w="1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w:t>
            </w:r>
          </w:p>
        </w:tc>
      </w:tr>
      <w:tr>
        <w:trPr>
          <w:trHeight w:val="1" w:hRule="atLeast"/>
          <w:jc w:val="left"/>
        </w:trPr>
        <w:tc>
          <w:tcPr>
            <w:tcW w:w="4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загальної середньої освіти закладами загальної середньої освіти (у тому числі з дошкільними підрозділами (відділеннями, групами))</w:t>
            </w:r>
          </w:p>
        </w:tc>
        <w:tc>
          <w:tcPr>
            <w:tcW w:w="1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3 509,9</w:t>
            </w: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1 491,6</w:t>
            </w:r>
          </w:p>
        </w:tc>
        <w:tc>
          <w:tcPr>
            <w:tcW w:w="1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2 018,3</w:t>
            </w:r>
          </w:p>
        </w:tc>
      </w:tr>
      <w:tr>
        <w:trPr>
          <w:trHeight w:val="1" w:hRule="atLeast"/>
          <w:jc w:val="left"/>
        </w:trPr>
        <w:tc>
          <w:tcPr>
            <w:tcW w:w="4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позашкільної освіти закладами позашкільної освіти, заходи із позашкільної роботи з дітьми</w:t>
            </w:r>
          </w:p>
        </w:tc>
        <w:tc>
          <w:tcPr>
            <w:tcW w:w="1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1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Надання спеціальної освіти мистецькими школами</w:t>
            </w:r>
          </w:p>
        </w:tc>
        <w:tc>
          <w:tcPr>
            <w:tcW w:w="1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503,6</w:t>
            </w: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293,1</w:t>
            </w:r>
          </w:p>
        </w:tc>
        <w:tc>
          <w:tcPr>
            <w:tcW w:w="1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210,5</w:t>
            </w:r>
          </w:p>
        </w:tc>
      </w:tr>
      <w:tr>
        <w:trPr>
          <w:trHeight w:val="1" w:hRule="atLeast"/>
          <w:jc w:val="left"/>
        </w:trPr>
        <w:tc>
          <w:tcPr>
            <w:tcW w:w="4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Забезпечення діяльності інклюзивно-ресурсних центрів</w:t>
            </w:r>
          </w:p>
        </w:tc>
        <w:tc>
          <w:tcPr>
            <w:tcW w:w="1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250,5</w:t>
            </w: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rFonts w:ascii="Calibri" w:hAnsi="Calibri" w:cs="Calibri" w:eastAsia="Calibri"/>
                <w:color w:val="auto"/>
                <w:spacing w:val="0"/>
                <w:position w:val="0"/>
                <w:sz w:val="22"/>
                <w:shd w:fill="auto" w:val="clear"/>
              </w:rPr>
            </w:pPr>
          </w:p>
        </w:tc>
        <w:tc>
          <w:tcPr>
            <w:tcW w:w="1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250,5</w:t>
            </w:r>
          </w:p>
        </w:tc>
      </w:tr>
      <w:tr>
        <w:trPr>
          <w:trHeight w:val="1" w:hRule="atLeast"/>
          <w:jc w:val="left"/>
        </w:trPr>
        <w:tc>
          <w:tcPr>
            <w:tcW w:w="47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РАЗОМ</w:t>
            </w:r>
          </w:p>
        </w:tc>
        <w:tc>
          <w:tcPr>
            <w:tcW w:w="16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5 460,9</w:t>
            </w:r>
          </w:p>
        </w:tc>
        <w:tc>
          <w:tcPr>
            <w:tcW w:w="16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2 974,7</w:t>
            </w:r>
          </w:p>
        </w:tc>
        <w:tc>
          <w:tcPr>
            <w:tcW w:w="16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16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2 486,2</w:t>
            </w:r>
          </w:p>
        </w:tc>
      </w:tr>
    </w:tbl>
    <w:p>
      <w:pPr>
        <w:tabs>
          <w:tab w:val="left" w:pos="851" w:leader="none"/>
        </w:tabs>
        <w:spacing w:before="0" w:after="160" w:line="276"/>
        <w:ind w:right="0" w:left="0" w:firstLine="720"/>
        <w:jc w:val="both"/>
        <w:rPr>
          <w:rFonts w:ascii="Times New Roman" w:hAnsi="Times New Roman" w:cs="Times New Roman" w:eastAsia="Times New Roman"/>
          <w:color w:val="FF0000"/>
          <w:spacing w:val="0"/>
          <w:position w:val="0"/>
          <w:sz w:val="24"/>
          <w:shd w:fill="auto" w:val="clear"/>
        </w:rPr>
      </w:pPr>
    </w:p>
    <w:p>
      <w:pPr>
        <w:tabs>
          <w:tab w:val="left" w:pos="851" w:leader="none"/>
          <w:tab w:val="left" w:pos="326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Капітальні видатки по галузі: </w:t>
      </w:r>
    </w:p>
    <w:p>
      <w:pPr>
        <w:numPr>
          <w:ilvl w:val="0"/>
          <w:numId w:val="213"/>
        </w:numPr>
        <w:tabs>
          <w:tab w:val="left" w:pos="851" w:leader="none"/>
          <w:tab w:val="left" w:pos="3261"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Придбано комп’ютерне обладнання для початкових класів Нової української школи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297,8 </w:t>
      </w:r>
      <w:r>
        <w:rPr>
          <w:rFonts w:ascii="Times New Roman" w:hAnsi="Times New Roman" w:cs="Times New Roman" w:eastAsia="Times New Roman"/>
          <w:color w:val="auto"/>
          <w:spacing w:val="0"/>
          <w:position w:val="0"/>
          <w:sz w:val="24"/>
          <w:shd w:fill="auto" w:val="clear"/>
        </w:rPr>
        <w:t xml:space="preserve">тис.грн., сучасні меблі для Нової української школи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475,6 </w:t>
      </w:r>
      <w:r>
        <w:rPr>
          <w:rFonts w:ascii="Times New Roman" w:hAnsi="Times New Roman" w:cs="Times New Roman" w:eastAsia="Times New Roman"/>
          <w:color w:val="auto"/>
          <w:spacing w:val="0"/>
          <w:position w:val="0"/>
          <w:sz w:val="24"/>
          <w:shd w:fill="auto" w:val="clear"/>
        </w:rPr>
        <w:t xml:space="preserve">тис.грн., обладнання для їдалень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332,0 </w:t>
      </w:r>
      <w:r>
        <w:rPr>
          <w:rFonts w:ascii="Times New Roman" w:hAnsi="Times New Roman" w:cs="Times New Roman" w:eastAsia="Times New Roman"/>
          <w:color w:val="auto"/>
          <w:spacing w:val="0"/>
          <w:position w:val="0"/>
          <w:sz w:val="24"/>
          <w:shd w:fill="auto" w:val="clear"/>
        </w:rPr>
        <w:t xml:space="preserve">тис.грн., газові котли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155,0 </w:t>
      </w:r>
      <w:r>
        <w:rPr>
          <w:rFonts w:ascii="Times New Roman" w:hAnsi="Times New Roman" w:cs="Times New Roman" w:eastAsia="Times New Roman"/>
          <w:color w:val="auto"/>
          <w:spacing w:val="0"/>
          <w:position w:val="0"/>
          <w:sz w:val="24"/>
          <w:shd w:fill="auto" w:val="clear"/>
        </w:rPr>
        <w:t xml:space="preserve">тис.грн., насоси для систем опалення та водопостачання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28,5 </w:t>
      </w:r>
      <w:r>
        <w:rPr>
          <w:rFonts w:ascii="Times New Roman" w:hAnsi="Times New Roman" w:cs="Times New Roman" w:eastAsia="Times New Roman"/>
          <w:color w:val="auto"/>
          <w:spacing w:val="0"/>
          <w:position w:val="0"/>
          <w:sz w:val="24"/>
          <w:shd w:fill="auto" w:val="clear"/>
        </w:rPr>
        <w:t xml:space="preserve">тис.грн.</w:t>
      </w:r>
    </w:p>
    <w:p>
      <w:pPr>
        <w:tabs>
          <w:tab w:val="left" w:pos="851" w:leader="none"/>
          <w:tab w:val="left" w:pos="3261"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виготовлено проектно-кошторисні документації та здійснено їх експертизи на капітальний ремонт покрівлі та приміщень харчоблоку і їдальні Дунаєвецької ЗОШ І-ІІІ ст.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83,7 </w:t>
      </w:r>
      <w:r>
        <w:rPr>
          <w:rFonts w:ascii="Times New Roman" w:hAnsi="Times New Roman" w:cs="Times New Roman" w:eastAsia="Times New Roman"/>
          <w:color w:val="auto"/>
          <w:spacing w:val="0"/>
          <w:position w:val="0"/>
          <w:sz w:val="24"/>
          <w:shd w:fill="auto" w:val="clear"/>
        </w:rPr>
        <w:t xml:space="preserve">тис.грн.,  капітальний ремонт системи опалення Дунаєвецької ЗОШ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56,1 </w:t>
      </w:r>
      <w:r>
        <w:rPr>
          <w:rFonts w:ascii="Times New Roman" w:hAnsi="Times New Roman" w:cs="Times New Roman" w:eastAsia="Times New Roman"/>
          <w:color w:val="auto"/>
          <w:spacing w:val="0"/>
          <w:position w:val="0"/>
          <w:sz w:val="24"/>
          <w:shd w:fill="auto" w:val="clear"/>
        </w:rPr>
        <w:t xml:space="preserve">тис.грн., капітальний ремонт харчоблоку  і їдальні Дунаєвецького НВК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ЗОШ,  гімназія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53,1 </w:t>
      </w:r>
      <w:r>
        <w:rPr>
          <w:rFonts w:ascii="Times New Roman" w:hAnsi="Times New Roman" w:cs="Times New Roman" w:eastAsia="Times New Roman"/>
          <w:color w:val="auto"/>
          <w:spacing w:val="0"/>
          <w:position w:val="0"/>
          <w:sz w:val="24"/>
          <w:shd w:fill="auto" w:val="clear"/>
        </w:rPr>
        <w:t xml:space="preserve">тис.грн.; проведено технічний та авторський нагляд на капітальний ремонт Дунаєвецької ЗОШ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І-ІІІ ст. ( утеплення фасадів та горищного перекриття)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50,0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профінансовано реконструкцію існуючих внутрішніх газових мереж з заміною вузлів обліку газу в Несторовецькій Зеленчанській, Чаньківській ЗОШ та Залісецькому і Рахнівському НВК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472,4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придбано розвиткове обладнання, матеріали та тренажери в Інклюзивно-ресурсний центр - 110,3 тис.грн.</w:t>
      </w:r>
    </w:p>
    <w:p>
      <w:pPr>
        <w:numPr>
          <w:ilvl w:val="0"/>
          <w:numId w:val="216"/>
        </w:numPr>
        <w:tabs>
          <w:tab w:val="left" w:pos="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як спонсорську допомогу отримано комплект сучасних методик для проведення оцінки розвитку дітей вартістю 140,2 тис.грн.</w:t>
      </w:r>
    </w:p>
    <w:p>
      <w:pPr>
        <w:numPr>
          <w:ilvl w:val="0"/>
          <w:numId w:val="216"/>
        </w:numPr>
        <w:tabs>
          <w:tab w:val="left" w:pos="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209,6 тис.грн. придбано музичні інструменти в Дунаєвецьку дитячу школу мистецтв.</w:t>
      </w:r>
    </w:p>
    <w:p>
      <w:pPr>
        <w:numPr>
          <w:ilvl w:val="0"/>
          <w:numId w:val="216"/>
        </w:numPr>
        <w:tabs>
          <w:tab w:val="left" w:pos="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851" w:leader="none"/>
        </w:tabs>
        <w:spacing w:before="0" w:after="160" w:line="276"/>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Охорона здоров’я</w:t>
      </w:r>
    </w:p>
    <w:p>
      <w:pPr>
        <w:spacing w:before="0" w:after="160" w:line="276"/>
        <w:ind w:right="0" w:left="0" w:firstLine="567"/>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комунальне некомерційне підприємство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Центр первинної медико-санітарної допомоги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спрямовано 2 329,0 тис.грн. видатків загального та спеціального, в тому числі відповідно до міської Програми медико-соціального забезпечення пільгових та соціально незахищених верств населення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994,6 </w:t>
      </w:r>
      <w:r>
        <w:rPr>
          <w:rFonts w:ascii="Times New Roman" w:hAnsi="Times New Roman" w:cs="Times New Roman" w:eastAsia="Times New Roman"/>
          <w:color w:val="auto"/>
          <w:spacing w:val="0"/>
          <w:position w:val="0"/>
          <w:sz w:val="24"/>
          <w:shd w:fill="auto" w:val="clear"/>
        </w:rPr>
        <w:t xml:space="preserve">тис.грн.</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(відшкодування вартості пільгових рецептів) та міської Програми фінансової підтримки КНП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Дунаєвецький центр первинної медико-санітарної допомоги</w:t>
      </w:r>
      <w:r>
        <w:rPr>
          <w:rFonts w:ascii="Times New Roman" w:hAnsi="Times New Roman" w:cs="Times New Roman" w:eastAsia="Times New Roman"/>
          <w:color w:val="auto"/>
          <w:spacing w:val="0"/>
          <w:position w:val="0"/>
          <w:sz w:val="24"/>
          <w:shd w:fill="auto" w:val="clear"/>
        </w:rPr>
        <w:t xml:space="preserve">» - 1 334,4 </w:t>
      </w:r>
      <w:r>
        <w:rPr>
          <w:rFonts w:ascii="Times New Roman" w:hAnsi="Times New Roman" w:cs="Times New Roman" w:eastAsia="Times New Roman"/>
          <w:color w:val="auto"/>
          <w:spacing w:val="0"/>
          <w:position w:val="0"/>
          <w:sz w:val="24"/>
          <w:shd w:fill="auto" w:val="clear"/>
        </w:rPr>
        <w:t xml:space="preserve">тис грн.</w:t>
      </w:r>
    </w:p>
    <w:p>
      <w:pPr>
        <w:tabs>
          <w:tab w:val="left" w:pos="851" w:leader="none"/>
        </w:tabs>
        <w:spacing w:before="0" w:after="0" w:line="276"/>
        <w:ind w:right="0" w:left="72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Поточні видатки склали 2 256,5 тис.грн., в т.ч.</w:t>
      </w:r>
    </w:p>
    <w:p>
      <w:pPr>
        <w:numPr>
          <w:ilvl w:val="0"/>
          <w:numId w:val="220"/>
        </w:numPr>
        <w:tabs>
          <w:tab w:val="left" w:pos="851" w:leader="none"/>
        </w:tabs>
        <w:spacing w:before="0" w:after="0" w:line="276"/>
        <w:ind w:right="0" w:left="78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придбання медикаментів та виробів медичного призначення для пільгових категорій населення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498,6 </w:t>
      </w:r>
      <w:r>
        <w:rPr>
          <w:rFonts w:ascii="Times New Roman" w:hAnsi="Times New Roman" w:cs="Times New Roman" w:eastAsia="Times New Roman"/>
          <w:color w:val="auto"/>
          <w:spacing w:val="0"/>
          <w:position w:val="0"/>
          <w:sz w:val="24"/>
          <w:shd w:fill="auto" w:val="clear"/>
        </w:rPr>
        <w:t xml:space="preserve">тис.грн. (калоприймачі, памперси, слухові апарати, тест смужки),</w:t>
      </w:r>
    </w:p>
    <w:p>
      <w:pPr>
        <w:numPr>
          <w:ilvl w:val="0"/>
          <w:numId w:val="220"/>
        </w:numPr>
        <w:tabs>
          <w:tab w:val="left" w:pos="851" w:leader="none"/>
        </w:tabs>
        <w:spacing w:before="0" w:after="0" w:line="276"/>
        <w:ind w:right="0" w:left="78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пільгових рецептів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496,0 </w:t>
      </w:r>
      <w:r>
        <w:rPr>
          <w:rFonts w:ascii="Times New Roman" w:hAnsi="Times New Roman" w:cs="Times New Roman" w:eastAsia="Times New Roman"/>
          <w:color w:val="auto"/>
          <w:spacing w:val="0"/>
          <w:position w:val="0"/>
          <w:sz w:val="24"/>
          <w:shd w:fill="auto" w:val="clear"/>
        </w:rPr>
        <w:t xml:space="preserve">тис.грн.,</w:t>
      </w:r>
    </w:p>
    <w:p>
      <w:pPr>
        <w:numPr>
          <w:ilvl w:val="0"/>
          <w:numId w:val="220"/>
        </w:numPr>
        <w:tabs>
          <w:tab w:val="left" w:pos="851" w:leader="none"/>
        </w:tabs>
        <w:spacing w:before="0" w:after="0" w:line="276"/>
        <w:ind w:right="0" w:left="78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здійснення заходів  протидії коронавірусу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481,3 </w:t>
      </w:r>
      <w:r>
        <w:rPr>
          <w:rFonts w:ascii="Times New Roman" w:hAnsi="Times New Roman" w:cs="Times New Roman" w:eastAsia="Times New Roman"/>
          <w:color w:val="auto"/>
          <w:spacing w:val="0"/>
          <w:position w:val="0"/>
          <w:sz w:val="24"/>
          <w:shd w:fill="auto" w:val="clear"/>
        </w:rPr>
        <w:t xml:space="preserve">тис.грн.,</w:t>
      </w:r>
    </w:p>
    <w:p>
      <w:pPr>
        <w:numPr>
          <w:ilvl w:val="0"/>
          <w:numId w:val="220"/>
        </w:numPr>
        <w:tabs>
          <w:tab w:val="left" w:pos="851" w:leader="none"/>
        </w:tabs>
        <w:spacing w:before="0" w:after="0" w:line="276"/>
        <w:ind w:right="0" w:left="78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енергоносіїв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658,0 </w:t>
      </w:r>
      <w:r>
        <w:rPr>
          <w:rFonts w:ascii="Times New Roman" w:hAnsi="Times New Roman" w:cs="Times New Roman" w:eastAsia="Times New Roman"/>
          <w:color w:val="auto"/>
          <w:spacing w:val="0"/>
          <w:position w:val="0"/>
          <w:sz w:val="24"/>
          <w:shd w:fill="auto" w:val="clear"/>
        </w:rPr>
        <w:t xml:space="preserve">тис.грн,</w:t>
      </w:r>
    </w:p>
    <w:p>
      <w:pPr>
        <w:numPr>
          <w:ilvl w:val="0"/>
          <w:numId w:val="220"/>
        </w:numPr>
        <w:tabs>
          <w:tab w:val="left" w:pos="851" w:leader="none"/>
        </w:tabs>
        <w:spacing w:before="0" w:after="0" w:line="276"/>
        <w:ind w:right="0" w:left="78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придбання матеріалів та поточні ремонти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85,2 </w:t>
      </w:r>
      <w:r>
        <w:rPr>
          <w:rFonts w:ascii="Times New Roman" w:hAnsi="Times New Roman" w:cs="Times New Roman" w:eastAsia="Times New Roman"/>
          <w:color w:val="auto"/>
          <w:spacing w:val="0"/>
          <w:position w:val="0"/>
          <w:sz w:val="24"/>
          <w:shd w:fill="auto" w:val="clear"/>
        </w:rPr>
        <w:t xml:space="preserve">тис. грн.,</w:t>
      </w:r>
    </w:p>
    <w:p>
      <w:pPr>
        <w:numPr>
          <w:ilvl w:val="0"/>
          <w:numId w:val="220"/>
        </w:numPr>
        <w:tabs>
          <w:tab w:val="left" w:pos="851" w:leader="none"/>
        </w:tabs>
        <w:spacing w:before="0" w:after="0" w:line="276"/>
        <w:ind w:right="0" w:left="78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сертифікація пандусів та будівлі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37,4 </w:t>
      </w:r>
      <w:r>
        <w:rPr>
          <w:rFonts w:ascii="Times New Roman" w:hAnsi="Times New Roman" w:cs="Times New Roman" w:eastAsia="Times New Roman"/>
          <w:color w:val="auto"/>
          <w:spacing w:val="0"/>
          <w:position w:val="0"/>
          <w:sz w:val="24"/>
          <w:shd w:fill="auto" w:val="clear"/>
        </w:rPr>
        <w:t xml:space="preserve">тис.грн.</w:t>
      </w:r>
    </w:p>
    <w:p>
      <w:pPr>
        <w:tabs>
          <w:tab w:val="left" w:pos="851"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Капітальні видатки спеціального фонду - 72,5 тис.грн., в т.ч.: придбання електроскутерів для фельдшерів сільських ФАПів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49,5 </w:t>
      </w:r>
      <w:r>
        <w:rPr>
          <w:rFonts w:ascii="Times New Roman" w:hAnsi="Times New Roman" w:cs="Times New Roman" w:eastAsia="Times New Roman"/>
          <w:color w:val="auto"/>
          <w:spacing w:val="0"/>
          <w:position w:val="0"/>
          <w:sz w:val="24"/>
          <w:shd w:fill="auto" w:val="clear"/>
        </w:rPr>
        <w:t xml:space="preserve">тис.грн. та холодильників для зберігання вакцин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23,0 </w:t>
      </w:r>
      <w:r>
        <w:rPr>
          <w:rFonts w:ascii="Times New Roman" w:hAnsi="Times New Roman" w:cs="Times New Roman" w:eastAsia="Times New Roman"/>
          <w:color w:val="auto"/>
          <w:spacing w:val="0"/>
          <w:position w:val="0"/>
          <w:sz w:val="24"/>
          <w:shd w:fill="auto" w:val="clear"/>
        </w:rPr>
        <w:t xml:space="preserve">тис.грн.</w:t>
      </w:r>
    </w:p>
    <w:p>
      <w:pPr>
        <w:tabs>
          <w:tab w:val="left" w:pos="851" w:leader="none"/>
        </w:tabs>
        <w:spacing w:before="0" w:after="0" w:line="276"/>
        <w:ind w:right="0" w:left="786" w:firstLine="567"/>
        <w:jc w:val="both"/>
        <w:rPr>
          <w:rFonts w:ascii="Times New Roman" w:hAnsi="Times New Roman" w:cs="Times New Roman" w:eastAsia="Times New Roman"/>
          <w:color w:val="auto"/>
          <w:spacing w:val="0"/>
          <w:position w:val="0"/>
          <w:sz w:val="24"/>
          <w:shd w:fill="auto" w:val="clear"/>
        </w:rPr>
      </w:pPr>
    </w:p>
    <w:p>
      <w:pPr>
        <w:tabs>
          <w:tab w:val="left" w:pos="851"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коду видатків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Інші програми та заходи в галузі охорони здоров’я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здійснено видатки в сумі 87,7 тис.грн., в тому числі придбання пального для підвезення до місця роботи медперсоналу лікарні та центру первинної медико-соціальної допомоги під час весняного карантину на виконання Програми відшкодування вартості підвозу медичних працівників на території Дунаєвецької міської ради на 2020 рік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48,6 </w:t>
      </w:r>
      <w:r>
        <w:rPr>
          <w:rFonts w:ascii="Times New Roman" w:hAnsi="Times New Roman" w:cs="Times New Roman" w:eastAsia="Times New Roman"/>
          <w:color w:val="auto"/>
          <w:spacing w:val="0"/>
          <w:position w:val="0"/>
          <w:sz w:val="24"/>
          <w:shd w:fill="auto" w:val="clear"/>
        </w:rPr>
        <w:t xml:space="preserve">тис.грн. та поточний трансферт КНП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Хмельницька обласна лікарня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придбання матеріалів для проведення поточного ремонту приміщення поліклініки на виконання Програми фінансової підтримки комунального некомерційного підприємства Хмельницької обласної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Хмельницька обласна лікарня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2020 рік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39,1 </w:t>
      </w:r>
      <w:r>
        <w:rPr>
          <w:rFonts w:ascii="Times New Roman" w:hAnsi="Times New Roman" w:cs="Times New Roman" w:eastAsia="Times New Roman"/>
          <w:color w:val="auto"/>
          <w:spacing w:val="0"/>
          <w:position w:val="0"/>
          <w:sz w:val="24"/>
          <w:shd w:fill="auto" w:val="clear"/>
        </w:rPr>
        <w:t xml:space="preserve">тис.грн.</w:t>
      </w:r>
    </w:p>
    <w:p>
      <w:pPr>
        <w:tabs>
          <w:tab w:val="left" w:pos="851" w:leader="none"/>
        </w:tabs>
        <w:spacing w:before="0" w:after="0" w:line="276"/>
        <w:ind w:right="0" w:left="0" w:firstLine="567"/>
        <w:jc w:val="both"/>
        <w:rPr>
          <w:rFonts w:ascii="Times New Roman" w:hAnsi="Times New Roman" w:cs="Times New Roman" w:eastAsia="Times New Roman"/>
          <w:b/>
          <w:color w:val="FF0000"/>
          <w:spacing w:val="0"/>
          <w:position w:val="0"/>
          <w:sz w:val="24"/>
          <w:shd w:fill="FFFF00" w:val="clear"/>
        </w:rPr>
      </w:pPr>
    </w:p>
    <w:p>
      <w:pPr>
        <w:tabs>
          <w:tab w:val="left" w:pos="851" w:leader="none"/>
        </w:tabs>
        <w:spacing w:before="0" w:after="160" w:line="276"/>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Соціальний захист та соціальне забезпечення</w:t>
      </w:r>
    </w:p>
    <w:p>
      <w:pPr>
        <w:tabs>
          <w:tab w:val="left" w:pos="220" w:leader="none"/>
        </w:tabs>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Видатки загального фонду на утримання комунальної установи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Територіальний центр соціального обслуговування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склали 5 284,3 тис.грн.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97,0 до уточненого річного плану. Видатки на зарплату з нарахуваннями профінансовані в сумі 4 967,2 тис.грн. (94,0% в загальній структурі видатків та 97,0 відсотків до планових призначень).</w:t>
      </w:r>
    </w:p>
    <w:p>
      <w:pPr>
        <w:tabs>
          <w:tab w:val="left" w:pos="220" w:leader="none"/>
        </w:tabs>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на оплату енергоносіїв та комунальних послуг склали 70,9 тис.грн. (питома вага - 1,3), заборгованість відсутня.</w:t>
      </w:r>
    </w:p>
    <w:p>
      <w:pPr>
        <w:tabs>
          <w:tab w:val="left" w:pos="851"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спеціального фонду становлять 229,2 тис.грн.: профінансована заробітна плата з нарахуваннями водія, придбані господарські матеріали, профінансовані видатки на оплату послуг, придбано легковий автомобіль для підвезення хворих нефрологічного профілю на процедури гемодіалізу.</w:t>
      </w:r>
    </w:p>
    <w:p>
      <w:pPr>
        <w:spacing w:before="0" w:after="160" w:line="276"/>
        <w:ind w:right="0" w:left="0" w:firstLine="851"/>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На утримання комунальної установи</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Міський центр комплексної реабілітації дітей з інвалідністю </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Ластівка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з загального фонду проведено  видатків на суму 1 336,5 тис.грн., в тому числі кошти міського бюджету </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256,8 </w:t>
      </w:r>
      <w:r>
        <w:rPr>
          <w:rFonts w:ascii="Times New Roman" w:hAnsi="Times New Roman" w:cs="Times New Roman" w:eastAsia="Times New Roman"/>
          <w:color w:val="auto"/>
          <w:spacing w:val="1"/>
          <w:position w:val="0"/>
          <w:sz w:val="24"/>
          <w:shd w:fill="auto" w:val="clear"/>
        </w:rPr>
        <w:t xml:space="preserve">тис.грн., інша субвенція з Маківського сільського бюджету на утримання в закладі 1 дитини </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41,7 </w:t>
      </w:r>
      <w:r>
        <w:rPr>
          <w:rFonts w:ascii="Times New Roman" w:hAnsi="Times New Roman" w:cs="Times New Roman" w:eastAsia="Times New Roman"/>
          <w:color w:val="auto"/>
          <w:spacing w:val="1"/>
          <w:position w:val="0"/>
          <w:sz w:val="24"/>
          <w:shd w:fill="auto" w:val="clear"/>
        </w:rPr>
        <w:t xml:space="preserve">тис.грн. та інша субвенція з  </w:t>
      </w:r>
      <w:r>
        <w:rPr>
          <w:rFonts w:ascii="Times New Roman" w:hAnsi="Times New Roman" w:cs="Times New Roman" w:eastAsia="Times New Roman"/>
          <w:color w:val="auto"/>
          <w:spacing w:val="0"/>
          <w:position w:val="0"/>
          <w:sz w:val="24"/>
          <w:shd w:fill="auto" w:val="clear"/>
        </w:rPr>
        <w:t xml:space="preserve">Дунаєвецького селищного бюджету </w:t>
      </w:r>
      <w:r>
        <w:rPr>
          <w:rFonts w:ascii="Times New Roman" w:hAnsi="Times New Roman" w:cs="Times New Roman" w:eastAsia="Times New Roman"/>
          <w:color w:val="auto"/>
          <w:spacing w:val="1"/>
          <w:position w:val="0"/>
          <w:sz w:val="24"/>
          <w:shd w:fill="auto" w:val="clear"/>
        </w:rPr>
        <w:t xml:space="preserve">на 1 дитину </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38,0 </w:t>
      </w:r>
      <w:r>
        <w:rPr>
          <w:rFonts w:ascii="Times New Roman" w:hAnsi="Times New Roman" w:cs="Times New Roman" w:eastAsia="Times New Roman"/>
          <w:color w:val="auto"/>
          <w:spacing w:val="1"/>
          <w:position w:val="0"/>
          <w:sz w:val="24"/>
          <w:shd w:fill="auto" w:val="clear"/>
        </w:rPr>
        <w:t xml:space="preserve">тис.грн.  На заробітну плату і нарахування спрямовано 1 101,1  тис.грн., що становить 97,2% </w:t>
      </w:r>
      <w:r>
        <w:rPr>
          <w:rFonts w:ascii="Times New Roman" w:hAnsi="Times New Roman" w:cs="Times New Roman" w:eastAsia="Times New Roman"/>
          <w:color w:val="auto"/>
          <w:spacing w:val="0"/>
          <w:position w:val="0"/>
          <w:sz w:val="24"/>
          <w:shd w:fill="auto" w:val="clear"/>
        </w:rPr>
        <w:t xml:space="preserve">до планових призначень.</w:t>
      </w:r>
    </w:p>
    <w:p>
      <w:pPr>
        <w:spacing w:before="0" w:after="160" w:line="276"/>
        <w:ind w:right="0" w:left="0" w:firstLine="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На оплату комунальних послуг та енергоносіїв використано 70,7 тис.грн., на продукти харчування </w:t>
      </w:r>
      <w:r>
        <w:rPr>
          <w:rFonts w:ascii="Times New Roman" w:hAnsi="Times New Roman" w:cs="Times New Roman" w:eastAsia="Times New Roman"/>
          <w:color w:val="auto"/>
          <w:spacing w:val="1"/>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90,4 </w:t>
      </w:r>
      <w:r>
        <w:rPr>
          <w:rFonts w:ascii="Times New Roman" w:hAnsi="Times New Roman" w:cs="Times New Roman" w:eastAsia="Times New Roman"/>
          <w:color w:val="auto"/>
          <w:spacing w:val="1"/>
          <w:position w:val="0"/>
          <w:sz w:val="24"/>
          <w:shd w:fill="auto" w:val="clear"/>
        </w:rPr>
        <w:t xml:space="preserve">тис.грн., заборгованості немає</w:t>
      </w:r>
    </w:p>
    <w:p>
      <w:pPr>
        <w:spacing w:before="0" w:after="160" w:line="276"/>
        <w:ind w:right="0" w:left="0" w:firstLine="708"/>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1"/>
          <w:position w:val="0"/>
          <w:sz w:val="24"/>
          <w:shd w:fill="auto" w:val="clear"/>
        </w:rPr>
        <w:t xml:space="preserve">По спеціальному фонду видатки не планувалися та не проводилися.</w:t>
      </w:r>
    </w:p>
    <w:p>
      <w:pPr>
        <w:tabs>
          <w:tab w:val="left" w:pos="851" w:leader="none"/>
        </w:tabs>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Крім цього по галузі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профінансовано 199,0 тис.грн. видатків на оздоровлення дітей: відпочинок  тривалістю 14 днів забезпечено 34 дітям.</w:t>
      </w:r>
    </w:p>
    <w:p>
      <w:pPr>
        <w:tabs>
          <w:tab w:val="left" w:pos="0"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На фінансування міської Програми соціального захисту населення на 2018-2020 роки спрямовано 1 366,9 тис.грн., Програми сприяння встановлення індивідуального опалення в багатоквартирних будинках м.Дунаївці, внутрішня система централізованого теплопостачання яких знаходиться в аварійному стані, на 2020 рік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519,1 </w:t>
      </w:r>
      <w:r>
        <w:rPr>
          <w:rFonts w:ascii="Times New Roman" w:hAnsi="Times New Roman" w:cs="Times New Roman" w:eastAsia="Times New Roman"/>
          <w:color w:val="auto"/>
          <w:spacing w:val="0"/>
          <w:position w:val="0"/>
          <w:sz w:val="24"/>
          <w:shd w:fill="auto" w:val="clear"/>
        </w:rPr>
        <w:t xml:space="preserve">тис.грн. та Програми виплати компенсації рідним на поховання громадян, померлих від COVID-2019 на 2020-2021 роки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76,1 </w:t>
      </w:r>
      <w:r>
        <w:rPr>
          <w:rFonts w:ascii="Times New Roman" w:hAnsi="Times New Roman" w:cs="Times New Roman" w:eastAsia="Times New Roman"/>
          <w:color w:val="auto"/>
          <w:spacing w:val="0"/>
          <w:position w:val="0"/>
          <w:sz w:val="24"/>
          <w:shd w:fill="auto" w:val="clear"/>
        </w:rPr>
        <w:t xml:space="preserve">тис.грн.</w:t>
      </w:r>
    </w:p>
    <w:p>
      <w:pPr>
        <w:tabs>
          <w:tab w:val="left" w:pos="851" w:leader="none"/>
        </w:tabs>
        <w:spacing w:before="0" w:after="160" w:line="276"/>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Культура і мистецтво</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Уточнені планові призначення загального фонду міського бюджету на утримання установ культури  на 2020 рік склали 11 040,5 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940,2 </w:t>
      </w:r>
      <w:r>
        <w:rPr>
          <w:rFonts w:ascii="Times New Roman" w:hAnsi="Times New Roman" w:cs="Times New Roman" w:eastAsia="Times New Roman"/>
          <w:color w:val="auto"/>
          <w:spacing w:val="0"/>
          <w:position w:val="0"/>
          <w:sz w:val="24"/>
          <w:shd w:fill="auto" w:val="clear"/>
        </w:rPr>
        <w:t xml:space="preserve">тис. грн. або 90,0 відсотків до плану. На оплату праці працівникам культури із загального фонду бюджету використано 8 139,2 тис.грн.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92,5 % до бюджетних призначень та 81,9 відсотків в загальній сумі видатків. На комунальні послуги та енергоносії спрямовано 823,8 тис.грн. або 8,3 % до загальних уточнених призначень.</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спеціальному фонду уточненні бюджетні призначення склали  1 240,6 тис.грн., фактичне виконання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118,2 </w:t>
      </w:r>
      <w:r>
        <w:rPr>
          <w:rFonts w:ascii="Times New Roman" w:hAnsi="Times New Roman" w:cs="Times New Roman" w:eastAsia="Times New Roman"/>
          <w:color w:val="auto"/>
          <w:spacing w:val="0"/>
          <w:position w:val="0"/>
          <w:sz w:val="24"/>
          <w:shd w:fill="auto" w:val="clear"/>
        </w:rPr>
        <w:t xml:space="preserve">тис.грн. або 90,1%.</w:t>
      </w:r>
    </w:p>
    <w:p>
      <w:pPr>
        <w:tabs>
          <w:tab w:val="left" w:pos="851" w:leader="none"/>
        </w:tabs>
        <w:spacing w:before="0" w:after="16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загального фонду на утримання установ культури в розрізі кодів:                                                                                                                                                                                </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Забезпечення діяльності бібліотек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здійснено 2 828,1 тис.грн. видатків загального фонду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90,7 відсотка до річного уточненого плану. На заробітну плату з нарахуваннями використано 2 546,2 тис.грн., що становить 90,0% в загальному обсязі видатків.</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Енергоносії та комунальні послуги профінансовані в сумі 214,7 тис.грн., заборгованість відсутня.</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спеціального фонду склали  100,2 тис.грн. </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утримання комунальної установи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Історико-краєзнавчий музей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спрямовано 324,3 тис.грн. коштів (74,7 відсотка до річного плану зі змінами). На заробітну плату з нарахуваннями використано 273,1 тис.грн., що становить 84,2% в загальному обсязі видатків.</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Енергоносії та комунальні послуги профінансовано в сумі 37,8 тис.грн., заборгованості немає.</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Поточні видатки спеціального фонду склали 34,6 тис.грн - за рахунок отриманої плати за послуги придбано шафи для експонатів, знайдених в  результаті археологічних розкопок на території громади. </w:t>
      </w:r>
    </w:p>
    <w:p>
      <w:pPr>
        <w:tabs>
          <w:tab w:val="left" w:pos="851" w:leader="none"/>
          <w:tab w:val="left" w:pos="1620"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Касові видатки загального фонду по коду видатків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Забезпечення діяльності палаців i будинків культури, клубів, центрів дозвілля та iнших клубних закладів</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склали 5 102,7 тис.грн., або 93,7 відсотка до уточнених річних призначень. Зарплата профінансована в сумі  4 168,7 тис.грн. (81,7% в загальному обсязі видатків).</w:t>
      </w:r>
    </w:p>
    <w:p>
      <w:pPr>
        <w:tabs>
          <w:tab w:val="left" w:pos="851" w:leader="none"/>
          <w:tab w:val="left" w:pos="1620"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оплату енергоносіїв використано 553,4 тис.грн., заборгованості немає.</w:t>
      </w:r>
    </w:p>
    <w:p>
      <w:pPr>
        <w:tabs>
          <w:tab w:val="left" w:pos="851" w:leader="none"/>
          <w:tab w:val="left" w:pos="1620" w:leader="none"/>
        </w:tabs>
        <w:spacing w:before="0" w:after="160" w:line="276"/>
        <w:ind w:right="0" w:left="0" w:firstLine="72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спеціальному фонду проведено видатків в сумі 955,4 тис.грн</w:t>
      </w:r>
    </w:p>
    <w:p>
      <w:pPr>
        <w:spacing w:before="0" w:after="160" w:line="276"/>
        <w:ind w:right="0" w:left="0" w:firstLine="720"/>
        <w:jc w:val="both"/>
        <w:rPr>
          <w:rFonts w:ascii="Times New Roman" w:hAnsi="Times New Roman" w:cs="Times New Roman" w:eastAsia="Times New Roman"/>
          <w:color w:val="FF0000"/>
          <w:spacing w:val="1"/>
          <w:position w:val="0"/>
          <w:sz w:val="24"/>
          <w:shd w:fill="FFFF00" w:val="clear"/>
        </w:rPr>
      </w:pP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коду видатків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Забезпечення діяльності інших закладів в галузі культури і мистецтва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фінансується централізована бухгалтерія, інформаційно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комунікаційний ресурсний центр та туристично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краєзнавчий центр. Видатки загального фонду склали 1 272,0 тис.грн.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84,3 відсотків до річного плану зі змінами. На заробітну плату з нарахуваннями використано 1 151,2 тис.грн., що становить 90,5% в загальному обсязі видатків.</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Енергоносії та комунальні послуги профінансовано в сумі 17,9 тис.грн., заборгованості немає.</w:t>
      </w:r>
    </w:p>
    <w:p>
      <w:pPr>
        <w:tabs>
          <w:tab w:val="left" w:pos="851" w:leader="none"/>
          <w:tab w:val="left" w:pos="1620" w:leader="none"/>
        </w:tabs>
        <w:spacing w:before="0" w:after="160" w:line="276"/>
        <w:ind w:right="0" w:left="0" w:firstLine="720"/>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спеціального фонду становлять 28,0 тис.грн. </w:t>
      </w:r>
    </w:p>
    <w:p>
      <w:pPr>
        <w:tabs>
          <w:tab w:val="left" w:pos="0" w:leader="none"/>
        </w:tabs>
        <w:spacing w:before="0" w:after="160" w:line="276"/>
        <w:ind w:right="0" w:left="0" w:firstLine="567"/>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Відповідно до міської цільової Програми підготовки та проведення заходів по відзначенню знаменних подій, розвитку культури та народної творчості Дунаєвецької міської об`єднаної територіальної громади на 2019-2020 роки, затвердженої рішенням сесії Дунаєвецької міської ради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7-58/2019 </w:t>
      </w:r>
      <w:r>
        <w:rPr>
          <w:rFonts w:ascii="Times New Roman" w:hAnsi="Times New Roman" w:cs="Times New Roman" w:eastAsia="Times New Roman"/>
          <w:color w:val="auto"/>
          <w:spacing w:val="0"/>
          <w:position w:val="0"/>
          <w:sz w:val="24"/>
          <w:shd w:fill="auto" w:val="clear"/>
        </w:rPr>
        <w:t xml:space="preserve">від 19.09.2019р., здійснено 413,0 тис.грн. видатків загального фонду.</w:t>
      </w:r>
    </w:p>
    <w:p>
      <w:pPr>
        <w:tabs>
          <w:tab w:val="left" w:pos="851" w:leader="none"/>
        </w:tabs>
        <w:spacing w:before="0" w:after="160" w:line="276"/>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Фізична культура і спорт </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Дунаєвецьку дитячо-юнацьку спортивну школу спрямовано 3 060,4 тис.грн. коштів загального фонду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95,8% уточнених призначень), в тому числі:</w:t>
      </w:r>
    </w:p>
    <w:p>
      <w:pPr>
        <w:numPr>
          <w:ilvl w:val="0"/>
          <w:numId w:val="243"/>
        </w:numPr>
        <w:tabs>
          <w:tab w:val="left" w:pos="709" w:leader="none"/>
          <w:tab w:val="left" w:pos="851" w:leader="none"/>
          <w:tab w:val="left" w:pos="1418" w:leader="none"/>
        </w:tabs>
        <w:spacing w:before="0" w:after="0" w:line="276"/>
        <w:ind w:right="0" w:left="851" w:hanging="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зарплата з нарахуваннями  2 409,4 тис. грн. (78,7% від загального обсягу видатків); </w:t>
      </w:r>
    </w:p>
    <w:p>
      <w:pPr>
        <w:numPr>
          <w:ilvl w:val="0"/>
          <w:numId w:val="243"/>
        </w:numPr>
        <w:tabs>
          <w:tab w:val="left" w:pos="851" w:leader="none"/>
        </w:tabs>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придбання матеріалів та обладнання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117,8 </w:t>
      </w:r>
      <w:r>
        <w:rPr>
          <w:rFonts w:ascii="Times New Roman" w:hAnsi="Times New Roman" w:cs="Times New Roman" w:eastAsia="Times New Roman"/>
          <w:color w:val="auto"/>
          <w:spacing w:val="0"/>
          <w:position w:val="0"/>
          <w:sz w:val="24"/>
          <w:shd w:fill="auto" w:val="clear"/>
        </w:rPr>
        <w:t xml:space="preserve">тис.грн. (спортінвентар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99,1 </w:t>
      </w:r>
      <w:r>
        <w:rPr>
          <w:rFonts w:ascii="Times New Roman" w:hAnsi="Times New Roman" w:cs="Times New Roman" w:eastAsia="Times New Roman"/>
          <w:color w:val="auto"/>
          <w:spacing w:val="0"/>
          <w:position w:val="0"/>
          <w:sz w:val="24"/>
          <w:shd w:fill="auto" w:val="clear"/>
        </w:rPr>
        <w:t xml:space="preserve">тис.грн., паливно-мастильні матеріали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11,0 </w:t>
      </w:r>
      <w:r>
        <w:rPr>
          <w:rFonts w:ascii="Times New Roman" w:hAnsi="Times New Roman" w:cs="Times New Roman" w:eastAsia="Times New Roman"/>
          <w:color w:val="auto"/>
          <w:spacing w:val="0"/>
          <w:position w:val="0"/>
          <w:sz w:val="24"/>
          <w:shd w:fill="auto" w:val="clear"/>
        </w:rPr>
        <w:t xml:space="preserve">тис.грн., автозапчастини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7,0 </w:t>
      </w:r>
      <w:r>
        <w:rPr>
          <w:rFonts w:ascii="Times New Roman" w:hAnsi="Times New Roman" w:cs="Times New Roman" w:eastAsia="Times New Roman"/>
          <w:color w:val="auto"/>
          <w:spacing w:val="0"/>
          <w:position w:val="0"/>
          <w:sz w:val="24"/>
          <w:shd w:fill="auto" w:val="clear"/>
        </w:rPr>
        <w:t xml:space="preserve">тис.грн., канцтовари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0,7 </w:t>
      </w:r>
      <w:r>
        <w:rPr>
          <w:rFonts w:ascii="Times New Roman" w:hAnsi="Times New Roman" w:cs="Times New Roman" w:eastAsia="Times New Roman"/>
          <w:color w:val="auto"/>
          <w:spacing w:val="0"/>
          <w:position w:val="0"/>
          <w:sz w:val="24"/>
          <w:shd w:fill="auto" w:val="clear"/>
        </w:rPr>
        <w:t xml:space="preserve">тис.грн.);</w:t>
      </w:r>
    </w:p>
    <w:p>
      <w:pPr>
        <w:numPr>
          <w:ilvl w:val="0"/>
          <w:numId w:val="243"/>
        </w:numPr>
        <w:tabs>
          <w:tab w:val="left" w:pos="851" w:leader="none"/>
        </w:tabs>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придбання медикаментів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4,4 </w:t>
      </w:r>
      <w:r>
        <w:rPr>
          <w:rFonts w:ascii="Times New Roman" w:hAnsi="Times New Roman" w:cs="Times New Roman" w:eastAsia="Times New Roman"/>
          <w:color w:val="auto"/>
          <w:spacing w:val="0"/>
          <w:position w:val="0"/>
          <w:sz w:val="24"/>
          <w:shd w:fill="auto" w:val="clear"/>
        </w:rPr>
        <w:t xml:space="preserve">тис.грн.; </w:t>
      </w:r>
    </w:p>
    <w:p>
      <w:pPr>
        <w:numPr>
          <w:ilvl w:val="0"/>
          <w:numId w:val="243"/>
        </w:numPr>
        <w:tabs>
          <w:tab w:val="left" w:pos="851" w:leader="none"/>
        </w:tabs>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на відрядження для участі в спортивних змаганнях, на курси підвищення кваліфікації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199,9 </w:t>
      </w:r>
      <w:r>
        <w:rPr>
          <w:rFonts w:ascii="Times New Roman" w:hAnsi="Times New Roman" w:cs="Times New Roman" w:eastAsia="Times New Roman"/>
          <w:color w:val="auto"/>
          <w:spacing w:val="0"/>
          <w:position w:val="0"/>
          <w:sz w:val="24"/>
          <w:shd w:fill="auto" w:val="clear"/>
        </w:rPr>
        <w:t xml:space="preserve">тис.грн.;</w:t>
      </w:r>
    </w:p>
    <w:p>
      <w:pPr>
        <w:numPr>
          <w:ilvl w:val="0"/>
          <w:numId w:val="243"/>
        </w:numPr>
        <w:tabs>
          <w:tab w:val="left" w:pos="851" w:leader="none"/>
        </w:tabs>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енергоносіїв та комунальних послуг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327,0 </w:t>
      </w:r>
      <w:r>
        <w:rPr>
          <w:rFonts w:ascii="Times New Roman" w:hAnsi="Times New Roman" w:cs="Times New Roman" w:eastAsia="Times New Roman"/>
          <w:color w:val="auto"/>
          <w:spacing w:val="0"/>
          <w:position w:val="0"/>
          <w:sz w:val="24"/>
          <w:shd w:fill="auto" w:val="clear"/>
        </w:rPr>
        <w:t xml:space="preserve">тис.грн. (заборгованості немає);</w:t>
      </w:r>
    </w:p>
    <w:p>
      <w:pPr>
        <w:numPr>
          <w:ilvl w:val="0"/>
          <w:numId w:val="243"/>
        </w:numPr>
        <w:tabs>
          <w:tab w:val="left" w:pos="851" w:leader="none"/>
        </w:tabs>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оплата стартового внеску для участі в змаганнях, плата за курси підвищення кваліфікації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1,9 </w:t>
      </w:r>
      <w:r>
        <w:rPr>
          <w:rFonts w:ascii="Times New Roman" w:hAnsi="Times New Roman" w:cs="Times New Roman" w:eastAsia="Times New Roman"/>
          <w:color w:val="auto"/>
          <w:spacing w:val="0"/>
          <w:position w:val="0"/>
          <w:sz w:val="24"/>
          <w:shd w:fill="auto" w:val="clear"/>
        </w:rPr>
        <w:t xml:space="preserve">тис.грн..</w:t>
      </w:r>
    </w:p>
    <w:p>
      <w:pPr>
        <w:tabs>
          <w:tab w:val="left" w:pos="851" w:leader="none"/>
        </w:tabs>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спеціального фонду не планувалися та не проводилися.</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утримання Міського центру фізичного здоров’я населення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 для всіх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профінансовано  1 878,5 тис.грн., або 93,1 % уточнених призначень.  На оплату праці з нарахуваннями використано 1 190,9 тис.грн. (63,4% від загального обсягу видатків).</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оплату комунальних послуг та енергоносіїв профінансовано 231,0 тис.грн. (заборгованості нема).</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Видатки спеціального фонду склали 814,6 тис.грн., в тому числі виготовлено проектно-кошторисну документацію  "Капітальний ремонт бігових доріжок стадіону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w:t>
      </w:r>
      <w:r>
        <w:rPr>
          <w:rFonts w:ascii="Times New Roman" w:hAnsi="Times New Roman" w:cs="Times New Roman" w:eastAsia="Times New Roman"/>
          <w:color w:val="auto"/>
          <w:spacing w:val="0"/>
          <w:position w:val="0"/>
          <w:sz w:val="24"/>
          <w:shd w:fill="auto" w:val="clear"/>
        </w:rPr>
        <w:t xml:space="preserve">» (49,5 </w:t>
      </w:r>
      <w:r>
        <w:rPr>
          <w:rFonts w:ascii="Times New Roman" w:hAnsi="Times New Roman" w:cs="Times New Roman" w:eastAsia="Times New Roman"/>
          <w:color w:val="auto"/>
          <w:spacing w:val="0"/>
          <w:position w:val="0"/>
          <w:sz w:val="24"/>
          <w:shd w:fill="auto" w:val="clear"/>
        </w:rPr>
        <w:t xml:space="preserve">тис.грн.), проведено експертизу цієї ПКД (16,2 тис.грн.), здійснено капітальний  ремонт трибун стадіону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Колос</w:t>
      </w:r>
      <w:r>
        <w:rPr>
          <w:rFonts w:ascii="Times New Roman" w:hAnsi="Times New Roman" w:cs="Times New Roman" w:eastAsia="Times New Roman"/>
          <w:color w:val="auto"/>
          <w:spacing w:val="0"/>
          <w:position w:val="0"/>
          <w:sz w:val="24"/>
          <w:shd w:fill="auto" w:val="clear"/>
        </w:rPr>
        <w:t xml:space="preserve">»(633,5 </w:t>
      </w:r>
      <w:r>
        <w:rPr>
          <w:rFonts w:ascii="Times New Roman" w:hAnsi="Times New Roman" w:cs="Times New Roman" w:eastAsia="Times New Roman"/>
          <w:color w:val="auto"/>
          <w:spacing w:val="0"/>
          <w:position w:val="0"/>
          <w:sz w:val="24"/>
          <w:shd w:fill="auto" w:val="clear"/>
        </w:rPr>
        <w:t xml:space="preserve">тис.грн.) та ін</w:t>
      </w:r>
    </w:p>
    <w:p>
      <w:pPr>
        <w:tabs>
          <w:tab w:val="left" w:pos="0" w:leader="none"/>
        </w:tabs>
        <w:spacing w:before="0" w:after="160" w:line="276"/>
        <w:ind w:right="0" w:left="1047"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Житлово-комунальне господарство</w:t>
      </w:r>
    </w:p>
    <w:p>
      <w:pPr>
        <w:tabs>
          <w:tab w:val="left" w:pos="567" w:leader="none"/>
        </w:tabs>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коду видатків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Експлуатація та технічне обслуговування житлового фонду</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здійснено видатки по спеціальному фонду  в сумі 609,4 тис.грн.:</w:t>
      </w:r>
    </w:p>
    <w:p>
      <w:pPr>
        <w:tabs>
          <w:tab w:val="left" w:pos="0"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профінансовано Програму сприяння встановлення індивідуального опалення в багатоквартирних будинках м.Дунаївці, внутрішня система централізованого теплопостачання яких знаходиться в аварійному стані, на 2020 рік - оплачено заміну газової труби по вул.Київська, 4 та 6 (139,7 тис.грн.)   </w:t>
      </w:r>
    </w:p>
    <w:p>
      <w:pPr>
        <w:tabs>
          <w:tab w:val="left" w:pos="0" w:leader="none"/>
        </w:tabs>
        <w:spacing w:before="0" w:after="160" w:line="276"/>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профінансовано Програму підтримки об’єднань співвласників багатоквартирних будинків (ОСББ) на території Дунаєвецької міської ради на 2020-2021 роки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273,4 </w:t>
      </w:r>
      <w:r>
        <w:rPr>
          <w:rFonts w:ascii="Times New Roman" w:hAnsi="Times New Roman" w:cs="Times New Roman" w:eastAsia="Times New Roman"/>
          <w:color w:val="auto"/>
          <w:spacing w:val="0"/>
          <w:position w:val="0"/>
          <w:sz w:val="24"/>
          <w:shd w:fill="auto" w:val="clear"/>
        </w:rPr>
        <w:t xml:space="preserve">тис.грн.</w:t>
        <w:tab/>
      </w:r>
    </w:p>
    <w:p>
      <w:pPr>
        <w:tabs>
          <w:tab w:val="left" w:pos="0"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виготовлено проектно-кошторисну документацію, здійснено технагляд щодо придбання та встановлення віконних блоків на сходових клітках багатоквартирних будинків за адресами вул.Шевченка,14, вул.Шевченка,116, вул.Шевченка,120, вул.Хлібопекарська,2б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196,3 </w:t>
      </w:r>
      <w:r>
        <w:rPr>
          <w:rFonts w:ascii="Times New Roman" w:hAnsi="Times New Roman" w:cs="Times New Roman" w:eastAsia="Times New Roman"/>
          <w:color w:val="auto"/>
          <w:spacing w:val="0"/>
          <w:position w:val="0"/>
          <w:sz w:val="24"/>
          <w:shd w:fill="auto" w:val="clear"/>
        </w:rPr>
        <w:t xml:space="preserve">тис.грн.</w:t>
        <w:tab/>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забезпечення діяльності водопровідно-каналізаційного господарства спрямовано 1 222,9 тис.грн. видатків спеціального фонду:</w:t>
      </w:r>
    </w:p>
    <w:p>
      <w:pPr>
        <w:numPr>
          <w:ilvl w:val="0"/>
          <w:numId w:val="251"/>
        </w:numPr>
        <w:tabs>
          <w:tab w:val="left" w:pos="360" w:leader="none"/>
          <w:tab w:val="left" w:pos="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капітальний ремонт вуличних водопроводів по вул.Яблунева, вул.Механізаторів, вул.Долинна, вул.В.Овчарука, вул.Б.Хмельницького, вул.Л.Українки, вул.Шовковична, вул.Ставищанська, вул.Мельника, вул.Визволителів, вул.Спортивна, пров.Центральний, Мельника в с.Лисець - 515,0 тис.грн.</w:t>
      </w:r>
    </w:p>
    <w:p>
      <w:pPr>
        <w:tabs>
          <w:tab w:val="left" w:pos="0"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реконструкція місцевої водопровідної мережі по вул.Сонячна, вул.Б.Хмельницького, вул.Набережна, вул.Пушкіна, вул..Молодіжна, вул.Лесі Українки, вул.Світла, вул.Гагаріна, вул.Декоративна, вул.Зелена в с.Залісці  - 100,0 тис.грн. </w:t>
      </w:r>
    </w:p>
    <w:p>
      <w:pPr>
        <w:tabs>
          <w:tab w:val="left" w:pos="0"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реконструкція вуличних водопроводів по вул.Варшавській та вул.Степана Разіна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607,9 </w:t>
      </w:r>
      <w:r>
        <w:rPr>
          <w:rFonts w:ascii="Times New Roman" w:hAnsi="Times New Roman" w:cs="Times New Roman" w:eastAsia="Times New Roman"/>
          <w:color w:val="auto"/>
          <w:spacing w:val="0"/>
          <w:position w:val="0"/>
          <w:sz w:val="24"/>
          <w:shd w:fill="auto" w:val="clear"/>
        </w:rPr>
        <w:t xml:space="preserve">тис.грн. </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Організацію благоустрою населених пунктів</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профінансовано 13 901,1 тис.грн.</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тому числі по загальному фонду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8 635,5 </w:t>
      </w:r>
      <w:r>
        <w:rPr>
          <w:rFonts w:ascii="Times New Roman" w:hAnsi="Times New Roman" w:cs="Times New Roman" w:eastAsia="Times New Roman"/>
          <w:color w:val="auto"/>
          <w:spacing w:val="0"/>
          <w:position w:val="0"/>
          <w:sz w:val="24"/>
          <w:shd w:fill="auto" w:val="clear"/>
        </w:rPr>
        <w:t xml:space="preserve">тис.грн., по спеціальному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5 265,6 </w:t>
      </w:r>
      <w:r>
        <w:rPr>
          <w:rFonts w:ascii="Times New Roman" w:hAnsi="Times New Roman" w:cs="Times New Roman" w:eastAsia="Times New Roman"/>
          <w:color w:val="auto"/>
          <w:spacing w:val="0"/>
          <w:position w:val="0"/>
          <w:sz w:val="24"/>
          <w:shd w:fill="auto" w:val="clear"/>
        </w:rPr>
        <w:t xml:space="preserve">тис.грн. </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загального фонду:</w:t>
      </w:r>
    </w:p>
    <w:p>
      <w:pPr>
        <w:numPr>
          <w:ilvl w:val="0"/>
          <w:numId w:val="254"/>
        </w:numPr>
        <w:tabs>
          <w:tab w:val="left" w:pos="360" w:leader="none"/>
          <w:tab w:val="left" w:pos="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заробітна плата з нарахуваннями прибиральникам територій на умовах договорів цивільно-правового характеру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333,1 </w:t>
      </w:r>
      <w:r>
        <w:rPr>
          <w:rFonts w:ascii="Times New Roman" w:hAnsi="Times New Roman" w:cs="Times New Roman" w:eastAsia="Times New Roman"/>
          <w:color w:val="auto"/>
          <w:spacing w:val="0"/>
          <w:position w:val="0"/>
          <w:sz w:val="24"/>
          <w:shd w:fill="auto" w:val="clear"/>
        </w:rPr>
        <w:t xml:space="preserve">тис.грн..</w:t>
      </w:r>
    </w:p>
    <w:p>
      <w:pPr>
        <w:tabs>
          <w:tab w:val="left" w:pos="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оплата послуг  - 4 981,9 тис.грн., в тому числі поточний ремонт та технічне обслуговування вуличного освітлення, вивіз твердих побутових відходів, ліквідація стихійних сміттєзвалищ, санітарна очистка дерев, облаштування сміттєвих майданчиків, поточний ремонт мостів та ін.</w:t>
      </w:r>
    </w:p>
    <w:p>
      <w:pPr>
        <w:spacing w:before="0" w:after="16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відшкодування  вартості електроенергії, використаної на  вуличне освітлення населених пунктів громади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846,9 </w:t>
      </w:r>
      <w:r>
        <w:rPr>
          <w:rFonts w:ascii="Times New Roman" w:hAnsi="Times New Roman" w:cs="Times New Roman" w:eastAsia="Times New Roman"/>
          <w:color w:val="auto"/>
          <w:spacing w:val="0"/>
          <w:position w:val="0"/>
          <w:sz w:val="24"/>
          <w:shd w:fill="auto" w:val="clear"/>
        </w:rPr>
        <w:t xml:space="preserve">тис.грн.</w:t>
      </w:r>
    </w:p>
    <w:p>
      <w:pPr>
        <w:numPr>
          <w:ilvl w:val="0"/>
          <w:numId w:val="257"/>
        </w:numPr>
        <w:spacing w:before="0" w:after="0" w:line="276"/>
        <w:ind w:right="0" w:left="1353" w:hanging="135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утримання двірників та прибиральників територій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1 787,1 </w:t>
      </w:r>
      <w:r>
        <w:rPr>
          <w:rFonts w:ascii="Times New Roman" w:hAnsi="Times New Roman" w:cs="Times New Roman" w:eastAsia="Times New Roman"/>
          <w:color w:val="auto"/>
          <w:spacing w:val="0"/>
          <w:position w:val="0"/>
          <w:sz w:val="24"/>
          <w:shd w:fill="auto" w:val="clear"/>
        </w:rPr>
        <w:t xml:space="preserve">тис.грн. і т.д.</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p>
    <w:p>
      <w:pPr>
        <w:spacing w:before="0" w:after="160" w:line="276"/>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спеціального фонду:</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придбання бульдозера для впорядкування полігону побутових відходів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520,0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придбання саджанців для озеленення в’їздів в місто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33,3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виготовлення проектно-кошторисних документацій на капітальні ремонти вуличного освітлення в сільських населених пунктах громади (с.Синяківці, с.Руда Гірчичанська, с.Малий Жванчик, с.Слобідка Ярова, с. Слобідка Гірчичнянська)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45,9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капітальний ремонт вуличного освітлення в с.Синяківці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181,3 </w:t>
      </w:r>
      <w:r>
        <w:rPr>
          <w:rFonts w:ascii="Times New Roman" w:hAnsi="Times New Roman" w:cs="Times New Roman" w:eastAsia="Times New Roman"/>
          <w:color w:val="auto"/>
          <w:spacing w:val="0"/>
          <w:position w:val="0"/>
          <w:sz w:val="24"/>
          <w:shd w:fill="auto" w:val="clear"/>
        </w:rPr>
        <w:t xml:space="preserve">тис.грн., с.Дубинка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91,2 </w:t>
      </w:r>
      <w:r>
        <w:rPr>
          <w:rFonts w:ascii="Times New Roman" w:hAnsi="Times New Roman" w:cs="Times New Roman" w:eastAsia="Times New Roman"/>
          <w:color w:val="auto"/>
          <w:spacing w:val="0"/>
          <w:position w:val="0"/>
          <w:sz w:val="24"/>
          <w:shd w:fill="auto" w:val="clear"/>
        </w:rPr>
        <w:t xml:space="preserve">тис.грн., с.Слобідка Гірчичнянська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71,4 </w:t>
      </w:r>
      <w:r>
        <w:rPr>
          <w:rFonts w:ascii="Times New Roman" w:hAnsi="Times New Roman" w:cs="Times New Roman" w:eastAsia="Times New Roman"/>
          <w:color w:val="auto"/>
          <w:spacing w:val="0"/>
          <w:position w:val="0"/>
          <w:sz w:val="24"/>
          <w:shd w:fill="auto" w:val="clear"/>
        </w:rPr>
        <w:t xml:space="preserve">тис.грн., с.Степок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138,4 </w:t>
      </w:r>
      <w:r>
        <w:rPr>
          <w:rFonts w:ascii="Times New Roman" w:hAnsi="Times New Roman" w:cs="Times New Roman" w:eastAsia="Times New Roman"/>
          <w:color w:val="auto"/>
          <w:spacing w:val="0"/>
          <w:position w:val="0"/>
          <w:sz w:val="24"/>
          <w:shd w:fill="auto" w:val="clear"/>
        </w:rPr>
        <w:t xml:space="preserve">тис.грн., с.Антонівка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167,8 </w:t>
      </w:r>
      <w:r>
        <w:rPr>
          <w:rFonts w:ascii="Times New Roman" w:hAnsi="Times New Roman" w:cs="Times New Roman" w:eastAsia="Times New Roman"/>
          <w:color w:val="auto"/>
          <w:spacing w:val="0"/>
          <w:position w:val="0"/>
          <w:sz w:val="24"/>
          <w:shd w:fill="auto" w:val="clear"/>
        </w:rPr>
        <w:t xml:space="preserve">тис.грн., с.Зеленче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162,8 </w:t>
      </w:r>
      <w:r>
        <w:rPr>
          <w:rFonts w:ascii="Times New Roman" w:hAnsi="Times New Roman" w:cs="Times New Roman" w:eastAsia="Times New Roman"/>
          <w:color w:val="auto"/>
          <w:spacing w:val="0"/>
          <w:position w:val="0"/>
          <w:sz w:val="24"/>
          <w:shd w:fill="auto" w:val="clear"/>
        </w:rPr>
        <w:t xml:space="preserve">тис.грн., с.Малий Жванчик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101,8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вуличного освітлення  по вул. Набережна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177,8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вуличного освітлення  по вул.Пилипа Орлика, вул.Ватутіна, пров.Ватутіна, вул.Михайла Стельмаха, пров.Михайла Стельмаха, вул.Володимирська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165,2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вуличного освітлення по  вул.Кутузова, вул.Суворова, вул.Миколи Магери, пров.Миколи Магери, вул.Польовій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121,6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вуличного освітлення  по вул.Дорошенка, вул.Незалежності, частини вул.Східної, частині вул.Грушевського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113,4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виготовлення та експертиза проектно-кошторисної документації по капітальному ремонту по вул. Шевченка в межах вулиці Конституції та автобусної зупинки в районі будівлі по вул.Шевченка,53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9,6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виготовлення  та експертиза проектно-кошторисної документації по капітальному ремонту тротуару по вул. МТС  в межах провулку МТС та вул.Горького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9,7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тротуару по вул.МТС в межах провулку МТС та вул.Горького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432,7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тротуару по вул. Конституції в м.Дунаївці</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496,8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капітальний ремонт тротуару по вул.Гагаріна від вул.Шевченка до будівлі Дунаєвецької школи мистецтв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211,3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капітальний ремонт тротуару на розі вулиць Дунайгородської та вул.Франца Лендера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5,7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виготовлення та експертиза проектно-кошторисної документації по капітальному ремонту пішохідної доріжки від вул.Гагаріна до вул.Красінських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9,7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пішохідної доріжки від вул.Гагаріна до вул.Красінських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486,6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внутрішньо-квартальних проїздів в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1 364,6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придбання автобусних зупинок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72,0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придбання цембрин для облаштування  громадських криниць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50,0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придбання електроскутера комунальним підприємством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Благоустрій Дунаєвеччини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25,0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w:t>
      </w:r>
      <w:r>
        <w:rPr>
          <w:rFonts w:ascii="Times New Roman" w:hAnsi="Times New Roman" w:cs="Times New Roman" w:eastAsia="Times New Roman"/>
          <w:color w:val="auto"/>
          <w:spacing w:val="0"/>
          <w:position w:val="0"/>
          <w:sz w:val="24"/>
          <w:shd w:fill="auto" w:val="clear"/>
        </w:rPr>
        <w:t xml:space="preserve">ґрунтованих витрат на їх виробництво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спрямовано 5 416,1 тис.грн. видатків загального фонду, з них по підприємствах міської ради:</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Міськводоканал</w:t>
      </w:r>
      <w:r>
        <w:rPr>
          <w:rFonts w:ascii="Times New Roman" w:hAnsi="Times New Roman" w:cs="Times New Roman" w:eastAsia="Times New Roman"/>
          <w:color w:val="auto"/>
          <w:spacing w:val="0"/>
          <w:position w:val="0"/>
          <w:sz w:val="24"/>
          <w:shd w:fill="auto" w:val="clear"/>
        </w:rPr>
        <w:t xml:space="preserve">» -  3 593,6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КП теплових мереж -  1 472,5 тис.грн.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Благоустрій Дунаєвеччини</w:t>
      </w:r>
      <w:r>
        <w:rPr>
          <w:rFonts w:ascii="Times New Roman" w:hAnsi="Times New Roman" w:cs="Times New Roman" w:eastAsia="Times New Roman"/>
          <w:color w:val="auto"/>
          <w:spacing w:val="0"/>
          <w:position w:val="0"/>
          <w:sz w:val="24"/>
          <w:shd w:fill="auto" w:val="clear"/>
        </w:rPr>
        <w:t xml:space="preserve">» -  350,0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Економічна діяльність  </w:t>
      </w:r>
    </w:p>
    <w:p>
      <w:pPr>
        <w:spacing w:before="0" w:after="16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коду видатків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Здійснення заходів із  землеустрою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КЕКВ 2240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Оплата послуг (крім комунальних)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проведено 344,2 тис.грн. видатків загального фонду, з них:</w:t>
      </w:r>
    </w:p>
    <w:p>
      <w:pPr>
        <w:numPr>
          <w:ilvl w:val="0"/>
          <w:numId w:val="264"/>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оформлення документації щодо  нормативної грошової оцінки м.Дунаївці та сільських населених пунктів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271,6 </w:t>
      </w:r>
      <w:r>
        <w:rPr>
          <w:rFonts w:ascii="Times New Roman" w:hAnsi="Times New Roman" w:cs="Times New Roman" w:eastAsia="Times New Roman"/>
          <w:color w:val="auto"/>
          <w:spacing w:val="0"/>
          <w:position w:val="0"/>
          <w:sz w:val="24"/>
          <w:shd w:fill="auto" w:val="clear"/>
        </w:rPr>
        <w:t xml:space="preserve">тис.грн.</w:t>
      </w:r>
    </w:p>
    <w:p>
      <w:pPr>
        <w:numPr>
          <w:ilvl w:val="0"/>
          <w:numId w:val="264"/>
        </w:num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розроблення землевпорядної документації щодо зміни (встановлення) меж сіл громади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72,6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коду видатків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Розробка схем планування та забудови територій (містобудівної документації)</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профінансовано видатки спеціального фонду в сумі 236,5  тис.грн. з них : </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розроблення плану зонування території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150,0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проведення державної містобудівної експертизи генерального плану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36,5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оплата детального плану території східної частини м.Дунаївці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50,0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коду видатків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Співфінансування інвестиційних проектів, що реалізуються за рахунок коштів державного фонду регіонального розвитку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було заплановано 658,7 тис.грн. та в повному обсязі профінансовано співфінансування капітального ремонту Дунаєвецької ЗОШ І-ІІІступенів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утеплення фасадів та горищного перекриття).</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Видатки по коду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Виконання інвестиційних проектів в рамках здійснення заходів щодо соціально-економічного розвитку окремих територій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здійснювалися за рахунок залишку коштів субвенції, який утворився в міському бюджеті станом на 01.01.2020 року в сумі 220,3 тис.грн. Рішенням сесії Дунаєвецької міської ради від 11.03.2020р.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7-66/2020 «</w:t>
      </w:r>
      <w:r>
        <w:rPr>
          <w:rFonts w:ascii="Times New Roman" w:hAnsi="Times New Roman" w:cs="Times New Roman" w:eastAsia="Times New Roman"/>
          <w:color w:val="auto"/>
          <w:spacing w:val="0"/>
          <w:position w:val="0"/>
          <w:sz w:val="24"/>
          <w:shd w:fill="auto" w:val="clear"/>
        </w:rPr>
        <w:t xml:space="preserve">Про внесення змін до міського бюджету на 2020 рік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заплановано по головному розпоряднику управлінню освіти, молоді та спорту міської ради та розподілено по об’єктах:</w:t>
      </w:r>
    </w:p>
    <w:p>
      <w:pPr>
        <w:tabs>
          <w:tab w:val="left" w:pos="284"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Капітальний ремонт будівлі Залісецького НВК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ЗОШ I-II  ступенів, ДНЗ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 Залісці Дунаєвецького району Хмельницької області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17,5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17,5 </w:t>
      </w:r>
      <w:r>
        <w:rPr>
          <w:rFonts w:ascii="Times New Roman" w:hAnsi="Times New Roman" w:cs="Times New Roman" w:eastAsia="Times New Roman"/>
          <w:color w:val="auto"/>
          <w:spacing w:val="0"/>
          <w:position w:val="0"/>
          <w:sz w:val="24"/>
          <w:shd w:fill="auto" w:val="clear"/>
        </w:rPr>
        <w:t xml:space="preserve">тис.грн., залишку немає </w:t>
      </w:r>
    </w:p>
    <w:p>
      <w:pPr>
        <w:tabs>
          <w:tab w:val="left" w:pos="284"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Капітальний ремонт будівлі Чаньківського ДНЗ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Сонечко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 Чаньків Дунаєвецького району Хмельницької області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18,7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18,7 </w:t>
      </w:r>
      <w:r>
        <w:rPr>
          <w:rFonts w:ascii="Times New Roman" w:hAnsi="Times New Roman" w:cs="Times New Roman" w:eastAsia="Times New Roman"/>
          <w:color w:val="auto"/>
          <w:spacing w:val="0"/>
          <w:position w:val="0"/>
          <w:sz w:val="24"/>
          <w:shd w:fill="auto" w:val="clear"/>
        </w:rPr>
        <w:t xml:space="preserve">тис.грн., залишку немає </w:t>
      </w:r>
    </w:p>
    <w:p>
      <w:pPr>
        <w:numPr>
          <w:ilvl w:val="0"/>
          <w:numId w:val="269"/>
        </w:numPr>
        <w:tabs>
          <w:tab w:val="left" w:pos="567"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Капітальний ремонт будівлі Зеленченської ЗОШ I-IIІ  ступенів по вулиці Центральна,37 в с. Зеленче Дунаєвецького району Хмельницької області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154,8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154,8 </w:t>
      </w:r>
      <w:r>
        <w:rPr>
          <w:rFonts w:ascii="Times New Roman" w:hAnsi="Times New Roman" w:cs="Times New Roman" w:eastAsia="Times New Roman"/>
          <w:color w:val="auto"/>
          <w:spacing w:val="0"/>
          <w:position w:val="0"/>
          <w:sz w:val="24"/>
          <w:shd w:fill="auto" w:val="clear"/>
        </w:rPr>
        <w:t xml:space="preserve">тис.грн., залишку немає </w:t>
      </w:r>
    </w:p>
    <w:p>
      <w:pPr>
        <w:numPr>
          <w:ilvl w:val="0"/>
          <w:numId w:val="269"/>
        </w:numPr>
        <w:tabs>
          <w:tab w:val="left" w:pos="567" w:leader="none"/>
        </w:tabs>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Капітальний ремонт будівлі Нестеревецької ЗОШ I-IIІ  ступенів по вулиці Центральна,26 в с. Нестерівці Дунаєвецького району Хмельницької області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29,3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29,3 </w:t>
      </w:r>
      <w:r>
        <w:rPr>
          <w:rFonts w:ascii="Times New Roman" w:hAnsi="Times New Roman" w:cs="Times New Roman" w:eastAsia="Times New Roman"/>
          <w:color w:val="auto"/>
          <w:spacing w:val="0"/>
          <w:position w:val="0"/>
          <w:sz w:val="24"/>
          <w:shd w:fill="auto" w:val="clear"/>
        </w:rPr>
        <w:t xml:space="preserve">тис.грн., залишку немає.</w:t>
      </w:r>
    </w:p>
    <w:p>
      <w:pPr>
        <w:tabs>
          <w:tab w:val="left" w:pos="567" w:leader="none"/>
        </w:tabs>
        <w:spacing w:before="0" w:after="0" w:line="276"/>
        <w:ind w:right="0" w:left="567" w:firstLine="0"/>
        <w:jc w:val="both"/>
        <w:rPr>
          <w:rFonts w:ascii="Times New Roman" w:hAnsi="Times New Roman" w:cs="Times New Roman" w:eastAsia="Times New Roman"/>
          <w:color w:val="auto"/>
          <w:spacing w:val="0"/>
          <w:position w:val="0"/>
          <w:sz w:val="24"/>
          <w:shd w:fill="auto" w:val="clear"/>
        </w:rPr>
      </w:pPr>
    </w:p>
    <w:p>
      <w:pPr>
        <w:spacing w:before="0" w:after="16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коду видатків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Виконання інвестиційних проектів в рамках реалізації заходів, спрямованих на розвиток системи охорони здоров`я у сільській місцевості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заплановано видатки на дофінансування будівництва Рахнівської амбулаторії загальної практики сімейної медицини в сумі 103,0 тис.грн., касові видатки не проводилися.</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утримання та розвиток автомобільних доріг та дорожньої інфраструктури профінансовано 5 933,7 тис.грн.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Видатки загального фонду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5 907,2 </w:t>
      </w:r>
      <w:r>
        <w:rPr>
          <w:rFonts w:ascii="Times New Roman" w:hAnsi="Times New Roman" w:cs="Times New Roman" w:eastAsia="Times New Roman"/>
          <w:color w:val="auto"/>
          <w:spacing w:val="0"/>
          <w:position w:val="0"/>
          <w:sz w:val="24"/>
          <w:shd w:fill="auto" w:val="clear"/>
        </w:rPr>
        <w:t xml:space="preserve">тис.грн., в тому числі на оплату послуг (поточний ремонт доріг, нарізання та очищення водовідвідних каналів вздовж узбіччя доріг, зимове утримання доріг та ін.) спрямовано 5 634,1 тис.грн., на придбання посипкових матеріалів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270,1 </w:t>
      </w:r>
      <w:r>
        <w:rPr>
          <w:rFonts w:ascii="Times New Roman" w:hAnsi="Times New Roman" w:cs="Times New Roman" w:eastAsia="Times New Roman"/>
          <w:color w:val="auto"/>
          <w:spacing w:val="0"/>
          <w:position w:val="0"/>
          <w:sz w:val="24"/>
          <w:shd w:fill="auto" w:val="clear"/>
        </w:rPr>
        <w:t xml:space="preserve">тис.грн. та придбання дорожніх знаків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3,0 </w:t>
      </w:r>
      <w:r>
        <w:rPr>
          <w:rFonts w:ascii="Times New Roman" w:hAnsi="Times New Roman" w:cs="Times New Roman" w:eastAsia="Times New Roman"/>
          <w:color w:val="auto"/>
          <w:spacing w:val="0"/>
          <w:position w:val="0"/>
          <w:sz w:val="24"/>
          <w:shd w:fill="auto" w:val="clear"/>
        </w:rPr>
        <w:t xml:space="preserve">тис.грн.</w:t>
      </w: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коду видатків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Внески до статутного капіталу суб`єктів господарювання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КЕКВ 3210 використано 627,3 тис.грн. коштів спеціального фонду - поповнено статутний капітал КП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Міськводоканал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придбання обладнання (шафа управління для насосного агрегата, шафа керування та шафа віддаленої комунікації).</w:t>
      </w:r>
    </w:p>
    <w:p>
      <w:pPr>
        <w:spacing w:before="0" w:after="16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Інша діяльність</w:t>
      </w:r>
    </w:p>
    <w:p>
      <w:pPr>
        <w:spacing w:before="0" w:after="160" w:line="276"/>
        <w:ind w:right="0" w:left="0" w:firstLine="567"/>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Забезпечення діяльності місцевої пожежної охорони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загальному фонду здійснено 17,9 тис.грн. видатків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 обов’язкове страхування членів добровільних пожежних дружин.           </w:t>
      </w:r>
      <w:r>
        <w:rPr>
          <w:rFonts w:ascii="Times New Roman" w:hAnsi="Times New Roman" w:cs="Times New Roman" w:eastAsia="Times New Roman"/>
          <w:color w:val="auto"/>
          <w:spacing w:val="0"/>
          <w:position w:val="0"/>
          <w:sz w:val="24"/>
          <w:shd w:fill="FFFF00" w:val="clear"/>
        </w:rPr>
        <w:t xml:space="preserve">            </w:t>
      </w:r>
    </w:p>
    <w:p>
      <w:pPr>
        <w:spacing w:before="0" w:after="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коду видатків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Охорона та раціональне використання природних ресурсів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профінансовано 53,8 тис.грн. видатків спеціального фонду, а саме придбання комунальним підприємством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Благоустрій Дунаєвеччини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рахунок коштів екологічного податку сміттєвих баків.</w:t>
      </w:r>
    </w:p>
    <w:p>
      <w:pPr>
        <w:tabs>
          <w:tab w:val="left" w:pos="851" w:leader="none"/>
        </w:tabs>
        <w:spacing w:before="0" w:after="160" w:line="276"/>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Видатки не віднесені до основних груп</w:t>
      </w:r>
    </w:p>
    <w:p>
      <w:pPr>
        <w:tabs>
          <w:tab w:val="left" w:pos="851"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коду видатків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Субвенція з місцевого бюджету державному бюджету на виконання програм соціально-економічного та культурного розвитку регіонів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відповідно до затверджених міських програм затверджені видатки загального фонду в сумі 421,0 тис.грн., профінансовані в сумі 411,0 тис.грн., в т.ч.:</w:t>
      </w:r>
    </w:p>
    <w:p>
      <w:pPr>
        <w:numPr>
          <w:ilvl w:val="0"/>
          <w:numId w:val="278"/>
        </w:numPr>
        <w:tabs>
          <w:tab w:val="left" w:pos="0" w:leader="none"/>
        </w:tabs>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Програми профілактики правопорушень та боротьби зі злочинністю на території Дунаєвецької міської ради на 2016-2020 роки (одержувач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ГУНП в Хмельницькій області):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50,0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50,0 </w:t>
      </w:r>
      <w:r>
        <w:rPr>
          <w:rFonts w:ascii="Times New Roman" w:hAnsi="Times New Roman" w:cs="Times New Roman" w:eastAsia="Times New Roman"/>
          <w:color w:val="auto"/>
          <w:spacing w:val="0"/>
          <w:position w:val="0"/>
          <w:sz w:val="24"/>
          <w:shd w:fill="auto" w:val="clear"/>
        </w:rPr>
        <w:t xml:space="preserve">тис.грн.</w:t>
      </w:r>
    </w:p>
    <w:p>
      <w:pPr>
        <w:numPr>
          <w:ilvl w:val="0"/>
          <w:numId w:val="278"/>
        </w:numPr>
        <w:tabs>
          <w:tab w:val="left" w:pos="0" w:leader="none"/>
        </w:tabs>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Програми забезпечення пожежної безпеки населених пунктів та об"єктів усіх форм власності, розвитку інфраструктури підрозділів пожежної охорони на території Дунаєвецької міської об’єднаної територіальної громади (одержувач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Державна пожежно-рятувальна частина ГУ ДСНС України у Хмельницькій області):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60,0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60,0 </w:t>
      </w:r>
      <w:r>
        <w:rPr>
          <w:rFonts w:ascii="Times New Roman" w:hAnsi="Times New Roman" w:cs="Times New Roman" w:eastAsia="Times New Roman"/>
          <w:color w:val="auto"/>
          <w:spacing w:val="0"/>
          <w:position w:val="0"/>
          <w:sz w:val="24"/>
          <w:shd w:fill="auto" w:val="clear"/>
        </w:rPr>
        <w:t xml:space="preserve">тис.грн.</w:t>
      </w:r>
    </w:p>
    <w:p>
      <w:pPr>
        <w:numPr>
          <w:ilvl w:val="0"/>
          <w:numId w:val="278"/>
        </w:numPr>
        <w:tabs>
          <w:tab w:val="left" w:pos="0" w:leader="none"/>
        </w:tabs>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Програми військово-патріотичного виховання та підготовки молоді до служби в Збройних силах України в Дунаєвецькій міській об’єднаній територіальній громаді на 2016-2020 роки (одержувач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Дунаєвецький військовий комісаріат):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50,0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50,0 </w:t>
      </w:r>
      <w:r>
        <w:rPr>
          <w:rFonts w:ascii="Times New Roman" w:hAnsi="Times New Roman" w:cs="Times New Roman" w:eastAsia="Times New Roman"/>
          <w:color w:val="auto"/>
          <w:spacing w:val="0"/>
          <w:position w:val="0"/>
          <w:sz w:val="24"/>
          <w:shd w:fill="auto" w:val="clear"/>
        </w:rPr>
        <w:t xml:space="preserve">тис.грн.</w:t>
      </w:r>
    </w:p>
    <w:p>
      <w:pPr>
        <w:numPr>
          <w:ilvl w:val="0"/>
          <w:numId w:val="278"/>
        </w:numPr>
        <w:tabs>
          <w:tab w:val="left" w:pos="0" w:leader="none"/>
        </w:tabs>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Програми підвищення якості обслуговування платників та розвитку інформаційної мережі Дунаєвецького управління ГУ ДПС у Хмельницькій області на 2020-2021 роки (Дунаєвецьке управління ГУ ДФС у Хмельницькій області) (одержувач - Дунаєвецьке управління ГУ ДФС у Хмельницькій області):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40,0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40,0 </w:t>
      </w:r>
      <w:r>
        <w:rPr>
          <w:rFonts w:ascii="Times New Roman" w:hAnsi="Times New Roman" w:cs="Times New Roman" w:eastAsia="Times New Roman"/>
          <w:color w:val="auto"/>
          <w:spacing w:val="0"/>
          <w:position w:val="0"/>
          <w:sz w:val="24"/>
          <w:shd w:fill="auto" w:val="clear"/>
        </w:rPr>
        <w:t xml:space="preserve">тис.грн.</w:t>
      </w:r>
    </w:p>
    <w:p>
      <w:pPr>
        <w:numPr>
          <w:ilvl w:val="0"/>
          <w:numId w:val="278"/>
        </w:numPr>
        <w:tabs>
          <w:tab w:val="left" w:pos="0" w:leader="none"/>
        </w:tabs>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Програми  забезпечення виконання повноважень управлінням соціального захисту населення Дунаєвецької районної державної адміністрації щодо реалізації державної політики у сфері соціального захисту населення на 2019-2020 роки (одержувач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управління соціального захисту населення Дунаєвецької РДА):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211,0 </w:t>
      </w:r>
      <w:r>
        <w:rPr>
          <w:rFonts w:ascii="Times New Roman" w:hAnsi="Times New Roman" w:cs="Times New Roman" w:eastAsia="Times New Roman"/>
          <w:color w:val="auto"/>
          <w:spacing w:val="0"/>
          <w:position w:val="0"/>
          <w:sz w:val="24"/>
          <w:shd w:fill="auto" w:val="clear"/>
        </w:rPr>
        <w:t xml:space="preserve">тис.грн., касові видатки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211,0 </w:t>
      </w:r>
      <w:r>
        <w:rPr>
          <w:rFonts w:ascii="Times New Roman" w:hAnsi="Times New Roman" w:cs="Times New Roman" w:eastAsia="Times New Roman"/>
          <w:color w:val="auto"/>
          <w:spacing w:val="0"/>
          <w:position w:val="0"/>
          <w:sz w:val="24"/>
          <w:shd w:fill="auto" w:val="clear"/>
        </w:rPr>
        <w:t xml:space="preserve">тис.грн.</w:t>
      </w:r>
    </w:p>
    <w:p>
      <w:pPr>
        <w:numPr>
          <w:ilvl w:val="0"/>
          <w:numId w:val="278"/>
        </w:numPr>
        <w:tabs>
          <w:tab w:val="left" w:pos="0" w:leader="none"/>
        </w:tabs>
        <w:spacing w:before="0" w:after="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Комплексної програми мобілізації зусиль Дунаєвецької міської ради, її виконавчих органів і Управління Державної міграційної служби України в Хмельницькій області по забезпеченню реалізації державної міграційної політики на 2019-2023 роки (одержувач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Управління ДМСУ в Хмельницькій області):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10,0 </w:t>
      </w:r>
      <w:r>
        <w:rPr>
          <w:rFonts w:ascii="Times New Roman" w:hAnsi="Times New Roman" w:cs="Times New Roman" w:eastAsia="Times New Roman"/>
          <w:color w:val="auto"/>
          <w:spacing w:val="0"/>
          <w:position w:val="0"/>
          <w:sz w:val="24"/>
          <w:shd w:fill="auto" w:val="clear"/>
        </w:rPr>
        <w:t xml:space="preserve">тис.грн., касові видатки відсутні.</w:t>
      </w:r>
    </w:p>
    <w:p>
      <w:pPr>
        <w:tabs>
          <w:tab w:val="left" w:pos="851" w:leader="none"/>
        </w:tabs>
        <w:spacing w:before="0" w:after="160" w:line="276"/>
        <w:ind w:right="0" w:left="0" w:firstLine="72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Резервний фонд</w:t>
      </w:r>
    </w:p>
    <w:p>
      <w:pPr>
        <w:tabs>
          <w:tab w:val="left" w:pos="851"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міському бюджеті на 2020 рік резервний фонд був запланований в сумі 150,0 тис.грн. Зазначені кошти в звітному році використані не були.</w:t>
      </w:r>
    </w:p>
    <w:p>
      <w:pPr>
        <w:tabs>
          <w:tab w:val="left" w:pos="851" w:leader="none"/>
        </w:tabs>
        <w:spacing w:before="0" w:after="160" w:line="276"/>
        <w:ind w:right="0" w:left="0" w:firstLine="72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IV. </w:t>
      </w:r>
      <w:r>
        <w:rPr>
          <w:rFonts w:ascii="Times New Roman" w:hAnsi="Times New Roman" w:cs="Times New Roman" w:eastAsia="Times New Roman"/>
          <w:b/>
          <w:color w:val="auto"/>
          <w:spacing w:val="0"/>
          <w:position w:val="0"/>
          <w:sz w:val="24"/>
          <w:u w:val="single"/>
          <w:shd w:fill="auto" w:val="clear"/>
        </w:rPr>
        <w:t xml:space="preserve">Фінансування</w:t>
      </w: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Станом на 01.01.2021 року на рахунках міського бюджету утворилися залишки коштів в сумі 16 886,3 тис.грн.</w:t>
      </w:r>
    </w:p>
    <w:p>
      <w:pPr>
        <w:tabs>
          <w:tab w:val="left" w:pos="851" w:leader="none"/>
        </w:tabs>
        <w:spacing w:before="0" w:after="160" w:line="276"/>
        <w:ind w:right="0" w:left="0" w:firstLine="720"/>
        <w:jc w:val="both"/>
        <w:rPr>
          <w:rFonts w:ascii="Times New Roman" w:hAnsi="Times New Roman" w:cs="Times New Roman" w:eastAsia="Times New Roman"/>
          <w:color w:val="FF0000"/>
          <w:spacing w:val="0"/>
          <w:position w:val="0"/>
          <w:sz w:val="24"/>
          <w:shd w:fill="auto" w:val="clear"/>
        </w:rPr>
      </w:pPr>
    </w:p>
    <w:p>
      <w:pPr>
        <w:tabs>
          <w:tab w:val="left" w:pos="851" w:leader="none"/>
        </w:tabs>
        <w:spacing w:before="0" w:after="160" w:line="276"/>
        <w:ind w:right="0" w:left="0" w:firstLine="72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Загальний фонд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 15</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821,0 </w:t>
      </w:r>
      <w:r>
        <w:rPr>
          <w:rFonts w:ascii="Times New Roman" w:hAnsi="Times New Roman" w:cs="Times New Roman" w:eastAsia="Times New Roman"/>
          <w:color w:val="auto"/>
          <w:spacing w:val="0"/>
          <w:position w:val="0"/>
          <w:sz w:val="24"/>
          <w:u w:val="single"/>
          <w:shd w:fill="auto" w:val="clear"/>
        </w:rPr>
        <w:t xml:space="preserve">тис.грн., з них: </w:t>
      </w:r>
    </w:p>
    <w:p>
      <w:pPr>
        <w:numPr>
          <w:ilvl w:val="0"/>
          <w:numId w:val="285"/>
        </w:numPr>
        <w:tabs>
          <w:tab w:val="left" w:pos="1710" w:leader="none"/>
          <w:tab w:val="left" w:pos="567" w:leader="none"/>
        </w:tabs>
        <w:spacing w:before="0" w:after="0" w:line="276"/>
        <w:ind w:right="0" w:left="567" w:hanging="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котловий рахунок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351,6 </w:t>
      </w:r>
      <w:r>
        <w:rPr>
          <w:rFonts w:ascii="Times New Roman" w:hAnsi="Times New Roman" w:cs="Times New Roman" w:eastAsia="Times New Roman"/>
          <w:color w:val="auto"/>
          <w:spacing w:val="0"/>
          <w:position w:val="0"/>
          <w:sz w:val="24"/>
          <w:shd w:fill="auto" w:val="clear"/>
        </w:rPr>
        <w:t xml:space="preserve">тис.грн.</w:t>
      </w:r>
    </w:p>
    <w:p>
      <w:pPr>
        <w:numPr>
          <w:ilvl w:val="0"/>
          <w:numId w:val="285"/>
        </w:numPr>
        <w:tabs>
          <w:tab w:val="left" w:pos="1710" w:leader="none"/>
          <w:tab w:val="left" w:pos="0" w:leader="none"/>
        </w:tabs>
        <w:spacing w:before="0" w:after="0" w:line="276"/>
        <w:ind w:right="0" w:left="567" w:hanging="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залишок коштів освітньої субвенції з державного бюджету місцевим бюджетам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1 201,6 </w:t>
      </w:r>
      <w:r>
        <w:rPr>
          <w:rFonts w:ascii="Times New Roman" w:hAnsi="Times New Roman" w:cs="Times New Roman" w:eastAsia="Times New Roman"/>
          <w:color w:val="auto"/>
          <w:spacing w:val="0"/>
          <w:position w:val="0"/>
          <w:sz w:val="24"/>
          <w:shd w:fill="auto" w:val="clear"/>
        </w:rPr>
        <w:t xml:space="preserve">тис.грн. </w:t>
      </w:r>
    </w:p>
    <w:p>
      <w:pPr>
        <w:numPr>
          <w:ilvl w:val="0"/>
          <w:numId w:val="285"/>
        </w:numPr>
        <w:tabs>
          <w:tab w:val="left" w:pos="1710" w:leader="none"/>
          <w:tab w:val="left" w:pos="567" w:leader="none"/>
        </w:tabs>
        <w:spacing w:before="0" w:after="0" w:line="276"/>
        <w:ind w:right="0" w:left="567" w:hanging="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залишок коштів субвенції з місцевого бюджету на здійснення переданих видатків у сфері освіти за рахунок коштів освітньої субвенції на 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Інклюзивно-ресурсний центр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266,6 </w:t>
      </w:r>
      <w:r>
        <w:rPr>
          <w:rFonts w:ascii="Times New Roman" w:hAnsi="Times New Roman" w:cs="Times New Roman" w:eastAsia="Times New Roman"/>
          <w:color w:val="auto"/>
          <w:spacing w:val="0"/>
          <w:position w:val="0"/>
          <w:sz w:val="24"/>
          <w:shd w:fill="auto" w:val="clear"/>
        </w:rPr>
        <w:t xml:space="preserve">тис.грн. та залишок коштів освітньої субвенції 2019 року на 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Інклюзивно-ресурсний центр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тис.грн.</w:t>
      </w:r>
    </w:p>
    <w:p>
      <w:pPr>
        <w:tabs>
          <w:tab w:val="left" w:pos="851" w:leader="none"/>
        </w:tabs>
        <w:spacing w:before="0" w:after="0" w:line="276"/>
        <w:ind w:right="0" w:left="1710" w:firstLine="0"/>
        <w:jc w:val="both"/>
        <w:rPr>
          <w:rFonts w:ascii="Times New Roman" w:hAnsi="Times New Roman" w:cs="Times New Roman" w:eastAsia="Times New Roman"/>
          <w:color w:val="FF0000"/>
          <w:spacing w:val="0"/>
          <w:position w:val="0"/>
          <w:sz w:val="24"/>
          <w:shd w:fill="auto" w:val="clear"/>
        </w:rPr>
      </w:pPr>
    </w:p>
    <w:p>
      <w:pPr>
        <w:tabs>
          <w:tab w:val="left" w:pos="851" w:leader="none"/>
        </w:tabs>
        <w:spacing w:before="0" w:after="0" w:line="276"/>
        <w:ind w:right="0" w:left="851" w:hanging="142"/>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Спеціальний фонд </w:t>
      </w: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u w:val="single"/>
          <w:shd w:fill="auto" w:val="clear"/>
        </w:rPr>
        <w:t xml:space="preserve"> 1</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065,3 </w:t>
      </w:r>
      <w:r>
        <w:rPr>
          <w:rFonts w:ascii="Times New Roman" w:hAnsi="Times New Roman" w:cs="Times New Roman" w:eastAsia="Times New Roman"/>
          <w:color w:val="auto"/>
          <w:spacing w:val="0"/>
          <w:position w:val="0"/>
          <w:sz w:val="24"/>
          <w:u w:val="single"/>
          <w:shd w:fill="auto" w:val="clear"/>
        </w:rPr>
        <w:t xml:space="preserve">тис.грн., з них:</w:t>
      </w:r>
    </w:p>
    <w:p>
      <w:pPr>
        <w:numPr>
          <w:ilvl w:val="0"/>
          <w:numId w:val="290"/>
        </w:numPr>
        <w:tabs>
          <w:tab w:val="left" w:pos="567" w:leader="none"/>
        </w:tabs>
        <w:spacing w:before="0" w:after="0" w:line="276"/>
        <w:ind w:right="0" w:left="1710" w:hanging="1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залишки коштів бюджету розвитку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008,8 </w:t>
      </w:r>
      <w:r>
        <w:rPr>
          <w:rFonts w:ascii="Times New Roman" w:hAnsi="Times New Roman" w:cs="Times New Roman" w:eastAsia="Times New Roman"/>
          <w:color w:val="auto"/>
          <w:spacing w:val="0"/>
          <w:position w:val="0"/>
          <w:sz w:val="24"/>
          <w:shd w:fill="auto" w:val="clear"/>
        </w:rPr>
        <w:t xml:space="preserve">тис.грн.,</w:t>
      </w:r>
    </w:p>
    <w:p>
      <w:pPr>
        <w:numPr>
          <w:ilvl w:val="0"/>
          <w:numId w:val="290"/>
        </w:numPr>
        <w:tabs>
          <w:tab w:val="left" w:pos="567" w:leader="none"/>
        </w:tabs>
        <w:spacing w:before="0" w:after="0" w:line="276"/>
        <w:ind w:right="0" w:left="1710" w:hanging="1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залишки коштів екологічного податку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15,2 </w:t>
      </w:r>
      <w:r>
        <w:rPr>
          <w:rFonts w:ascii="Times New Roman" w:hAnsi="Times New Roman" w:cs="Times New Roman" w:eastAsia="Times New Roman"/>
          <w:color w:val="auto"/>
          <w:spacing w:val="0"/>
          <w:position w:val="0"/>
          <w:sz w:val="24"/>
          <w:shd w:fill="auto" w:val="clear"/>
        </w:rPr>
        <w:t xml:space="preserve">тис.грн., </w:t>
      </w:r>
    </w:p>
    <w:p>
      <w:pPr>
        <w:numPr>
          <w:ilvl w:val="0"/>
          <w:numId w:val="290"/>
        </w:numPr>
        <w:tabs>
          <w:tab w:val="left" w:pos="567" w:leader="none"/>
        </w:tabs>
        <w:spacing w:before="0" w:after="0" w:line="276"/>
        <w:ind w:right="0" w:left="1710" w:hanging="17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кошти від втрат с/г і л/г виробництва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41,3 </w:t>
      </w:r>
      <w:r>
        <w:rPr>
          <w:rFonts w:ascii="Times New Roman" w:hAnsi="Times New Roman" w:cs="Times New Roman" w:eastAsia="Times New Roman"/>
          <w:color w:val="auto"/>
          <w:spacing w:val="0"/>
          <w:position w:val="0"/>
          <w:sz w:val="24"/>
          <w:shd w:fill="auto" w:val="clear"/>
        </w:rPr>
        <w:t xml:space="preserve">тис.грн.</w:t>
      </w:r>
    </w:p>
    <w:p>
      <w:pPr>
        <w:tabs>
          <w:tab w:val="left" w:pos="851" w:leader="none"/>
          <w:tab w:val="left" w:pos="3119" w:leader="none"/>
        </w:tabs>
        <w:spacing w:before="0" w:after="160" w:line="276"/>
        <w:ind w:right="0" w:left="0" w:firstLine="72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V. </w:t>
      </w:r>
      <w:r>
        <w:rPr>
          <w:rFonts w:ascii="Times New Roman" w:hAnsi="Times New Roman" w:cs="Times New Roman" w:eastAsia="Times New Roman"/>
          <w:b/>
          <w:color w:val="auto"/>
          <w:spacing w:val="0"/>
          <w:position w:val="0"/>
          <w:sz w:val="24"/>
          <w:u w:val="single"/>
          <w:shd w:fill="auto" w:val="clear"/>
        </w:rPr>
        <w:t xml:space="preserve">Кредитування</w:t>
      </w:r>
    </w:p>
    <w:p>
      <w:pPr>
        <w:tabs>
          <w:tab w:val="left" w:pos="851" w:leader="none"/>
          <w:tab w:val="left" w:pos="3119" w:leader="none"/>
        </w:tabs>
        <w:spacing w:before="0" w:after="160" w:line="27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2020 році кредити з міського бюджету не надавалися.</w:t>
      </w:r>
    </w:p>
    <w:p>
      <w:pPr>
        <w:tabs>
          <w:tab w:val="left" w:pos="851" w:leader="none"/>
        </w:tabs>
        <w:spacing w:before="0" w:after="160" w:line="276"/>
        <w:ind w:right="0" w:left="0" w:firstLine="72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VI. </w:t>
      </w:r>
      <w:r>
        <w:rPr>
          <w:rFonts w:ascii="Times New Roman" w:hAnsi="Times New Roman" w:cs="Times New Roman" w:eastAsia="Times New Roman"/>
          <w:b/>
          <w:color w:val="auto"/>
          <w:spacing w:val="0"/>
          <w:position w:val="0"/>
          <w:sz w:val="24"/>
          <w:u w:val="single"/>
          <w:shd w:fill="auto" w:val="clear"/>
        </w:rPr>
        <w:t xml:space="preserve">Міжбюджетні трансферти</w:t>
      </w:r>
      <w:r>
        <w:rPr>
          <w:rFonts w:ascii="Times New Roman" w:hAnsi="Times New Roman" w:cs="Times New Roman" w:eastAsia="Times New Roman"/>
          <w:color w:val="auto"/>
          <w:spacing w:val="0"/>
          <w:position w:val="0"/>
          <w:sz w:val="24"/>
          <w:u w:val="single"/>
          <w:shd w:fill="auto" w:val="clear"/>
        </w:rPr>
        <w:t xml:space="preserve">.</w:t>
      </w:r>
    </w:p>
    <w:p>
      <w:pPr>
        <w:tabs>
          <w:tab w:val="left" w:pos="567" w:leader="none"/>
        </w:tabs>
        <w:spacing w:before="0" w:after="160" w:line="276"/>
        <w:ind w:right="0" w:left="56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Передані міжбюджетні трансферти по загальному фонду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9</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355,3 </w:t>
      </w:r>
      <w:r>
        <w:rPr>
          <w:rFonts w:ascii="Times New Roman" w:hAnsi="Times New Roman" w:cs="Times New Roman" w:eastAsia="Times New Roman"/>
          <w:b/>
          <w:i/>
          <w:color w:val="auto"/>
          <w:spacing w:val="0"/>
          <w:position w:val="0"/>
          <w:sz w:val="24"/>
          <w:shd w:fill="auto" w:val="clear"/>
        </w:rPr>
        <w:t xml:space="preserve">тис.грн.:</w:t>
      </w:r>
    </w:p>
    <w:p>
      <w:pPr>
        <w:tabs>
          <w:tab w:val="left" w:pos="0" w:leader="none"/>
        </w:tabs>
        <w:spacing w:before="0" w:after="160" w:line="276"/>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Субвенція з місцевого бюджету на здійснення переданих видатків у сфері охорони здоров`я за рахунок коштів медичної субвенції</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(КПКВКМБ 3719410)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818,2 </w:t>
      </w:r>
      <w:r>
        <w:rPr>
          <w:rFonts w:ascii="Times New Roman" w:hAnsi="Times New Roman" w:cs="Times New Roman" w:eastAsia="Times New Roman"/>
          <w:color w:val="auto"/>
          <w:spacing w:val="0"/>
          <w:position w:val="0"/>
          <w:sz w:val="24"/>
          <w:shd w:fill="auto" w:val="clear"/>
        </w:rPr>
        <w:t xml:space="preserve">тис.грн. передано районному бюджету на утримання КНП районної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Дунаєвецька ЦРЛ</w:t>
      </w:r>
      <w:r>
        <w:rPr>
          <w:rFonts w:ascii="Times New Roman" w:hAnsi="Times New Roman" w:cs="Times New Roman" w:eastAsia="Times New Roman"/>
          <w:color w:val="auto"/>
          <w:spacing w:val="0"/>
          <w:position w:val="0"/>
          <w:sz w:val="24"/>
          <w:shd w:fill="auto" w:val="clear"/>
        </w:rPr>
        <w:t xml:space="preserve">»;</w:t>
      </w:r>
    </w:p>
    <w:p>
      <w:pPr>
        <w:tabs>
          <w:tab w:val="left" w:pos="0" w:leader="none"/>
        </w:tabs>
        <w:spacing w:before="0" w:after="16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Інші субвенції</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районному бюджету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537,1 </w:t>
      </w:r>
      <w:r>
        <w:rPr>
          <w:rFonts w:ascii="Times New Roman" w:hAnsi="Times New Roman" w:cs="Times New Roman" w:eastAsia="Times New Roman"/>
          <w:color w:val="auto"/>
          <w:spacing w:val="0"/>
          <w:position w:val="0"/>
          <w:sz w:val="24"/>
          <w:shd w:fill="auto" w:val="clear"/>
        </w:rPr>
        <w:t xml:space="preserve">тис.грн.: </w:t>
      </w:r>
    </w:p>
    <w:p>
      <w:pPr>
        <w:numPr>
          <w:ilvl w:val="0"/>
          <w:numId w:val="297"/>
        </w:numPr>
        <w:tabs>
          <w:tab w:val="left" w:pos="0" w:leader="none"/>
        </w:tabs>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утримання КУ районної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Трудовий архів</w:t>
      </w:r>
      <w:r>
        <w:rPr>
          <w:rFonts w:ascii="Times New Roman" w:hAnsi="Times New Roman" w:cs="Times New Roman" w:eastAsia="Times New Roman"/>
          <w:color w:val="auto"/>
          <w:spacing w:val="0"/>
          <w:position w:val="0"/>
          <w:sz w:val="24"/>
          <w:shd w:fill="auto" w:val="clear"/>
        </w:rPr>
        <w:t xml:space="preserve">» - 269,4 </w:t>
      </w:r>
      <w:r>
        <w:rPr>
          <w:rFonts w:ascii="Times New Roman" w:hAnsi="Times New Roman" w:cs="Times New Roman" w:eastAsia="Times New Roman"/>
          <w:color w:val="auto"/>
          <w:spacing w:val="0"/>
          <w:position w:val="0"/>
          <w:sz w:val="24"/>
          <w:shd w:fill="auto" w:val="clear"/>
        </w:rPr>
        <w:t xml:space="preserve">тис.грн.</w:t>
      </w:r>
    </w:p>
    <w:p>
      <w:pPr>
        <w:numPr>
          <w:ilvl w:val="0"/>
          <w:numId w:val="297"/>
        </w:numPr>
        <w:tabs>
          <w:tab w:val="left" w:pos="0" w:leader="none"/>
        </w:tabs>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компенсація пільгового проїзду окремих категорій громадян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5,4 </w:t>
      </w:r>
      <w:r>
        <w:rPr>
          <w:rFonts w:ascii="Times New Roman" w:hAnsi="Times New Roman" w:cs="Times New Roman" w:eastAsia="Times New Roman"/>
          <w:color w:val="auto"/>
          <w:spacing w:val="0"/>
          <w:position w:val="0"/>
          <w:sz w:val="24"/>
          <w:shd w:fill="auto" w:val="clear"/>
        </w:rPr>
        <w:t xml:space="preserve">тис.грн., пільги з послуг зв’язку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25,0 </w:t>
      </w:r>
      <w:r>
        <w:rPr>
          <w:rFonts w:ascii="Times New Roman" w:hAnsi="Times New Roman" w:cs="Times New Roman" w:eastAsia="Times New Roman"/>
          <w:color w:val="auto"/>
          <w:spacing w:val="0"/>
          <w:position w:val="0"/>
          <w:sz w:val="24"/>
          <w:shd w:fill="auto" w:val="clear"/>
        </w:rPr>
        <w:t xml:space="preserve">тис.грн.</w:t>
      </w:r>
    </w:p>
    <w:p>
      <w:pPr>
        <w:numPr>
          <w:ilvl w:val="0"/>
          <w:numId w:val="297"/>
        </w:numPr>
        <w:tabs>
          <w:tab w:val="left" w:pos="0" w:leader="none"/>
        </w:tabs>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КНП районної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Дунаєвецька ЦРЛ</w:t>
      </w:r>
      <w:r>
        <w:rPr>
          <w:rFonts w:ascii="Times New Roman" w:hAnsi="Times New Roman" w:cs="Times New Roman" w:eastAsia="Times New Roman"/>
          <w:color w:val="auto"/>
          <w:spacing w:val="0"/>
          <w:position w:val="0"/>
          <w:sz w:val="24"/>
          <w:shd w:fill="auto" w:val="clear"/>
        </w:rPr>
        <w:t xml:space="preserve">» - 2 129,3 </w:t>
      </w:r>
      <w:r>
        <w:rPr>
          <w:rFonts w:ascii="Times New Roman" w:hAnsi="Times New Roman" w:cs="Times New Roman" w:eastAsia="Times New Roman"/>
          <w:color w:val="auto"/>
          <w:spacing w:val="0"/>
          <w:position w:val="0"/>
          <w:sz w:val="24"/>
          <w:shd w:fill="auto" w:val="clear"/>
        </w:rPr>
        <w:t xml:space="preserve">тис.грн., в тому числі заробітна плата працівників КНП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94,5 </w:t>
      </w:r>
      <w:r>
        <w:rPr>
          <w:rFonts w:ascii="Times New Roman" w:hAnsi="Times New Roman" w:cs="Times New Roman" w:eastAsia="Times New Roman"/>
          <w:color w:val="auto"/>
          <w:spacing w:val="0"/>
          <w:position w:val="0"/>
          <w:sz w:val="24"/>
          <w:shd w:fill="auto" w:val="clear"/>
        </w:rPr>
        <w:t xml:space="preserve">тис.грн., енергоносії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820,0 </w:t>
      </w:r>
      <w:r>
        <w:rPr>
          <w:rFonts w:ascii="Times New Roman" w:hAnsi="Times New Roman" w:cs="Times New Roman" w:eastAsia="Times New Roman"/>
          <w:color w:val="auto"/>
          <w:spacing w:val="0"/>
          <w:position w:val="0"/>
          <w:sz w:val="24"/>
          <w:shd w:fill="auto" w:val="clear"/>
        </w:rPr>
        <w:t xml:space="preserve">тис.грн., придбання комп’ютерного обладнання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591,3 </w:t>
      </w:r>
      <w:r>
        <w:rPr>
          <w:rFonts w:ascii="Times New Roman" w:hAnsi="Times New Roman" w:cs="Times New Roman" w:eastAsia="Times New Roman"/>
          <w:color w:val="auto"/>
          <w:spacing w:val="0"/>
          <w:position w:val="0"/>
          <w:sz w:val="24"/>
          <w:shd w:fill="auto" w:val="clear"/>
        </w:rPr>
        <w:t xml:space="preserve">тис.грн., інсулін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436,3 </w:t>
      </w:r>
      <w:r>
        <w:rPr>
          <w:rFonts w:ascii="Times New Roman" w:hAnsi="Times New Roman" w:cs="Times New Roman" w:eastAsia="Times New Roman"/>
          <w:color w:val="auto"/>
          <w:spacing w:val="0"/>
          <w:position w:val="0"/>
          <w:sz w:val="24"/>
          <w:shd w:fill="auto" w:val="clear"/>
        </w:rPr>
        <w:t xml:space="preserve">тис.грн., здійснення заходів із запобігання поширенню Covid-2019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187,2 </w:t>
      </w:r>
      <w:r>
        <w:rPr>
          <w:rFonts w:ascii="Times New Roman" w:hAnsi="Times New Roman" w:cs="Times New Roman" w:eastAsia="Times New Roman"/>
          <w:color w:val="auto"/>
          <w:spacing w:val="0"/>
          <w:position w:val="0"/>
          <w:sz w:val="24"/>
          <w:shd w:fill="auto" w:val="clear"/>
        </w:rPr>
        <w:t xml:space="preserve">тис.грн. </w:t>
      </w:r>
    </w:p>
    <w:p>
      <w:pPr>
        <w:numPr>
          <w:ilvl w:val="0"/>
          <w:numId w:val="297"/>
        </w:numPr>
        <w:tabs>
          <w:tab w:val="left" w:pos="0" w:leader="none"/>
        </w:tabs>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утримання районної ради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100,0 </w:t>
      </w:r>
      <w:r>
        <w:rPr>
          <w:rFonts w:ascii="Times New Roman" w:hAnsi="Times New Roman" w:cs="Times New Roman" w:eastAsia="Times New Roman"/>
          <w:color w:val="auto"/>
          <w:spacing w:val="0"/>
          <w:position w:val="0"/>
          <w:sz w:val="24"/>
          <w:shd w:fill="auto" w:val="clear"/>
        </w:rPr>
        <w:t xml:space="preserve">тис.грн.</w:t>
      </w:r>
    </w:p>
    <w:p>
      <w:pPr>
        <w:numPr>
          <w:ilvl w:val="0"/>
          <w:numId w:val="297"/>
        </w:numPr>
        <w:tabs>
          <w:tab w:val="left" w:pos="0" w:leader="none"/>
        </w:tabs>
        <w:spacing w:before="0" w:after="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фінансування районної Програми забезпечення виконання рішень суду на 2019-2020 роки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8,0 </w:t>
      </w:r>
      <w:r>
        <w:rPr>
          <w:rFonts w:ascii="Times New Roman" w:hAnsi="Times New Roman" w:cs="Times New Roman" w:eastAsia="Times New Roman"/>
          <w:color w:val="auto"/>
          <w:spacing w:val="0"/>
          <w:position w:val="0"/>
          <w:sz w:val="24"/>
          <w:shd w:fill="auto" w:val="clear"/>
        </w:rPr>
        <w:t xml:space="preserve">тис.грн.</w:t>
      </w:r>
    </w:p>
    <w:p>
      <w:pPr>
        <w:tabs>
          <w:tab w:val="left" w:pos="0" w:leader="none"/>
        </w:tabs>
        <w:spacing w:before="0" w:after="160" w:line="276"/>
        <w:ind w:right="0" w:left="0" w:firstLine="567"/>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Передані міжбюджетні трансферти по спеціальному фонду</w:t>
      </w:r>
      <w:r>
        <w:rPr>
          <w:rFonts w:ascii="Times New Roman" w:hAnsi="Times New Roman" w:cs="Times New Roman" w:eastAsia="Times New Roman"/>
          <w:color w:val="auto"/>
          <w:spacing w:val="0"/>
          <w:position w:val="0"/>
          <w:sz w:val="24"/>
          <w:shd w:fill="auto" w:val="clear"/>
        </w:rPr>
        <w:t xml:space="preserve">: план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555,0 </w:t>
      </w:r>
      <w:r>
        <w:rPr>
          <w:rFonts w:ascii="Times New Roman" w:hAnsi="Times New Roman" w:cs="Times New Roman" w:eastAsia="Times New Roman"/>
          <w:color w:val="auto"/>
          <w:spacing w:val="0"/>
          <w:position w:val="0"/>
          <w:sz w:val="24"/>
          <w:shd w:fill="auto" w:val="clear"/>
        </w:rPr>
        <w:t xml:space="preserve">тис.грн., касові видатки - 554,4тис.грн. співфінансування придбання шкільного автобуса для перевезення учнів</w:t>
      </w:r>
    </w:p>
    <w:p>
      <w:pPr>
        <w:tabs>
          <w:tab w:val="left" w:pos="567" w:leader="none"/>
        </w:tabs>
        <w:spacing w:before="0" w:after="160" w:line="276"/>
        <w:ind w:right="0" w:left="0" w:firstLine="0"/>
        <w:jc w:val="left"/>
        <w:rPr>
          <w:rFonts w:ascii="Times New Roman" w:hAnsi="Times New Roman" w:cs="Times New Roman" w:eastAsia="Times New Roman"/>
          <w:b/>
          <w:color w:val="FF0000"/>
          <w:spacing w:val="0"/>
          <w:position w:val="0"/>
          <w:sz w:val="24"/>
          <w:u w:val="single"/>
          <w:shd w:fill="auto" w:val="clear"/>
        </w:rPr>
      </w:pP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p>
    <w:p>
      <w:pPr>
        <w:spacing w:before="0" w:after="160" w:line="276"/>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Начальник фінансового управління                                                          Тетяна АБЗАЛОВА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282" w:left="0" w:firstLine="0"/>
        <w:jc w:val="center"/>
        <w:rPr>
          <w:rFonts w:ascii="Times New Roman" w:hAnsi="Times New Roman" w:cs="Times New Roman" w:eastAsia="Times New Roman"/>
          <w:color w:val="auto"/>
          <w:spacing w:val="0"/>
          <w:position w:val="0"/>
          <w:sz w:val="24"/>
          <w:shd w:fill="auto" w:val="clear"/>
        </w:rPr>
      </w:pPr>
      <w:r>
        <w:object w:dxaOrig="504" w:dyaOrig="835">
          <v:rect xmlns:o="urn:schemas-microsoft-com:office:office" xmlns:v="urn:schemas-microsoft-com:vml" id="rectole0000000001" style="width:25.200000pt;height:41.7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282"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282"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ДУНАЄВЕЦЬКА МІСЬКА РАДА</w:t>
      </w:r>
    </w:p>
    <w:p>
      <w:pPr>
        <w:spacing w:before="0" w:after="0" w:line="240"/>
        <w:ind w:right="282"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ВИКОНАВЧИЙ КОМІТЕТ</w:t>
      </w:r>
    </w:p>
    <w:p>
      <w:pPr>
        <w:spacing w:before="0" w:after="0" w:line="240"/>
        <w:ind w:right="282" w:left="0" w:firstLine="0"/>
        <w:jc w:val="center"/>
        <w:rPr>
          <w:rFonts w:ascii="Times New Roman" w:hAnsi="Times New Roman" w:cs="Times New Roman" w:eastAsia="Times New Roman"/>
          <w:b/>
          <w:color w:val="auto"/>
          <w:spacing w:val="0"/>
          <w:position w:val="0"/>
          <w:sz w:val="24"/>
          <w:shd w:fill="auto" w:val="clear"/>
        </w:rPr>
      </w:pPr>
    </w:p>
    <w:p>
      <w:pPr>
        <w:tabs>
          <w:tab w:val="left" w:pos="7088" w:leader="none"/>
        </w:tabs>
        <w:spacing w:before="0" w:after="0" w:line="240"/>
        <w:ind w:right="282"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Проєкт РІШЕННЯ</w:t>
      </w:r>
    </w:p>
    <w:p>
      <w:pPr>
        <w:spacing w:before="0" w:after="160" w:line="252"/>
        <w:ind w:right="282"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282"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лютого 2021 р.                               Дунаївці</w:t>
        <w:tab/>
        <w:t xml:space="preserve">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__</w:t>
      </w:r>
    </w:p>
    <w:p>
      <w:pPr>
        <w:spacing w:before="0" w:after="120" w:line="360"/>
        <w:ind w:right="282" w:left="0" w:firstLine="0"/>
        <w:jc w:val="left"/>
        <w:rPr>
          <w:rFonts w:ascii="Times New Roman" w:hAnsi="Times New Roman" w:cs="Times New Roman" w:eastAsia="Times New Roman"/>
          <w:color w:val="auto"/>
          <w:spacing w:val="0"/>
          <w:position w:val="0"/>
          <w:sz w:val="28"/>
          <w:shd w:fill="auto" w:val="clear"/>
        </w:rPr>
      </w:pPr>
    </w:p>
    <w:p>
      <w:pPr>
        <w:tabs>
          <w:tab w:val="left" w:pos="708" w:leader="none"/>
        </w:tabs>
        <w:spacing w:before="0" w:after="0" w:line="240"/>
        <w:ind w:right="282"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 розгляд заяви</w:t>
      </w:r>
    </w:p>
    <w:p>
      <w:pPr>
        <w:tabs>
          <w:tab w:val="left" w:pos="708" w:leader="none"/>
        </w:tabs>
        <w:spacing w:before="0" w:after="0" w:line="240"/>
        <w:ind w:right="282"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282"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Керуючись Законом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місцеве самоврядування в Україні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Порядком державної реєстрації речових прав на нерухоме майно та їх обтяжень, затвердженого Постановою Кабінету Міністрів України від 25 грудня 2015 року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1127, </w:t>
      </w:r>
      <w:r>
        <w:rPr>
          <w:rFonts w:ascii="Times New Roman" w:hAnsi="Times New Roman" w:cs="Times New Roman" w:eastAsia="Times New Roman"/>
          <w:color w:val="auto"/>
          <w:spacing w:val="0"/>
          <w:position w:val="0"/>
          <w:sz w:val="28"/>
          <w:shd w:fill="auto" w:val="clear"/>
        </w:rPr>
        <w:t xml:space="preserve">Постановою Кабінету Міністрів України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367 </w:t>
      </w:r>
      <w:r>
        <w:rPr>
          <w:rFonts w:ascii="Times New Roman" w:hAnsi="Times New Roman" w:cs="Times New Roman" w:eastAsia="Times New Roman"/>
          <w:color w:val="auto"/>
          <w:spacing w:val="0"/>
          <w:position w:val="0"/>
          <w:sz w:val="28"/>
          <w:shd w:fill="auto" w:val="clear"/>
        </w:rPr>
        <w:t xml:space="preserve">від 27 березня 2019 року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Деякі питання дерегуляції господарської діяльності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Наказом Міністерства регіонального розвитку, будівництва та житлово-комунального господарства України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137 </w:t>
      </w:r>
      <w:r>
        <w:rPr>
          <w:rFonts w:ascii="Times New Roman" w:hAnsi="Times New Roman" w:cs="Times New Roman" w:eastAsia="Times New Roman"/>
          <w:color w:val="auto"/>
          <w:spacing w:val="0"/>
          <w:position w:val="0"/>
          <w:sz w:val="28"/>
          <w:shd w:fill="auto" w:val="clear"/>
        </w:rPr>
        <w:t xml:space="preserve">від 21 червня 2019 року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затвердження Переліку </w:t>
      </w:r>
    </w:p>
    <w:p>
      <w:pPr>
        <w:spacing w:before="0" w:after="0" w:line="240"/>
        <w:ind w:right="282"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об’єктів будівництва та об’єктів нерухомого майна, яким не присвоюється адреса об’єкта будівництва, об’єкта нерухомого майна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розглянувши заяву Сайка Володимира Миколайовича, враховуючи акт обстеження комунального підприємства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Інвентарбюро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Дунаєвецької міської ради від 19 лютого 2021 року в зв’язку з проведенням обліку об’єктів нерухомого майна та необхідністю впорядкування нумерації, виконавчий комітет міської ради</w:t>
      </w:r>
    </w:p>
    <w:p>
      <w:pPr>
        <w:spacing w:before="0" w:after="120" w:line="240"/>
        <w:ind w:right="282" w:left="0" w:firstLine="0"/>
        <w:jc w:val="both"/>
        <w:rPr>
          <w:rFonts w:ascii="Times New Roman" w:hAnsi="Times New Roman" w:cs="Times New Roman" w:eastAsia="Times New Roman"/>
          <w:color w:val="auto"/>
          <w:spacing w:val="0"/>
          <w:position w:val="0"/>
          <w:sz w:val="28"/>
          <w:shd w:fill="auto" w:val="clear"/>
        </w:rPr>
      </w:pPr>
    </w:p>
    <w:p>
      <w:pPr>
        <w:spacing w:before="0" w:after="120" w:line="240"/>
        <w:ind w:right="282"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ВИРІШИВ:</w:t>
      </w:r>
    </w:p>
    <w:p>
      <w:pPr>
        <w:spacing w:before="0" w:after="0" w:line="240"/>
        <w:ind w:right="282"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282"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Змінити частку на домоволодіння в м. Дунаївці по вул. Ярова, 10, що належить:</w:t>
      </w:r>
    </w:p>
    <w:p>
      <w:pPr>
        <w:spacing w:before="0" w:after="0" w:line="240"/>
        <w:ind w:right="282"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 Сайко Володимиру Миколайовичу з 1/2 на 1/1 (100%)</w:t>
      </w:r>
    </w:p>
    <w:p>
      <w:pPr>
        <w:spacing w:before="0" w:after="0" w:line="240"/>
        <w:ind w:right="282"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Гр. Сайко В.М. провести державну реєстрацію права власності згідно чинного законодавства.</w:t>
      </w:r>
    </w:p>
    <w:p>
      <w:pPr>
        <w:spacing w:before="0" w:after="0" w:line="240"/>
        <w:ind w:right="282"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Присвоїти адресу на:</w:t>
      </w:r>
    </w:p>
    <w:p>
      <w:pPr>
        <w:spacing w:before="0" w:after="0" w:line="240"/>
        <w:ind w:right="282"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житловий будинок по вул. Ярова, 10А м. Дунаївці, Дунаєвецького району, Хмельницької області, (стара адреса вул. Ярова, 10, м. Дунаївці, Дунаєвецького району, Хмельницької області).</w:t>
      </w:r>
    </w:p>
    <w:p>
      <w:pPr>
        <w:tabs>
          <w:tab w:val="left" w:pos="7088" w:leader="none"/>
        </w:tabs>
        <w:spacing w:before="0" w:after="0" w:line="240"/>
        <w:ind w:right="282" w:left="0" w:firstLine="0"/>
        <w:jc w:val="left"/>
        <w:rPr>
          <w:rFonts w:ascii="Times New Roman" w:hAnsi="Times New Roman" w:cs="Times New Roman" w:eastAsia="Times New Roman"/>
          <w:color w:val="000000"/>
          <w:spacing w:val="0"/>
          <w:position w:val="0"/>
          <w:sz w:val="28"/>
          <w:shd w:fill="auto" w:val="clear"/>
        </w:rPr>
      </w:pPr>
    </w:p>
    <w:p>
      <w:pPr>
        <w:spacing w:before="0" w:after="160" w:line="252"/>
        <w:ind w:right="282" w:left="0" w:firstLine="0"/>
        <w:jc w:val="left"/>
        <w:rPr>
          <w:rFonts w:ascii="Calibri" w:hAnsi="Calibri" w:cs="Calibri" w:eastAsia="Calibri"/>
          <w:color w:val="auto"/>
          <w:spacing w:val="0"/>
          <w:position w:val="0"/>
          <w:sz w:val="22"/>
          <w:shd w:fill="auto" w:val="clear"/>
        </w:rPr>
      </w:pPr>
    </w:p>
    <w:p>
      <w:pPr>
        <w:spacing w:before="0" w:after="0" w:line="240"/>
        <w:ind w:right="282"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Міський голова                                                                  </w:t>
        <w:tab/>
        <w:t xml:space="preserve">Веліна ЗАЯЦЬ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20">
    <w:abstractNumId w:val="90"/>
  </w:num>
  <w:num w:numId="29">
    <w:abstractNumId w:val="84"/>
  </w:num>
  <w:num w:numId="155">
    <w:abstractNumId w:val="78"/>
  </w:num>
  <w:num w:numId="213">
    <w:abstractNumId w:val="72"/>
  </w:num>
  <w:num w:numId="216">
    <w:abstractNumId w:val="66"/>
  </w:num>
  <w:num w:numId="220">
    <w:abstractNumId w:val="60"/>
  </w:num>
  <w:num w:numId="243">
    <w:abstractNumId w:val="54"/>
  </w:num>
  <w:num w:numId="251">
    <w:abstractNumId w:val="48"/>
  </w:num>
  <w:num w:numId="254">
    <w:abstractNumId w:val="42"/>
  </w:num>
  <w:num w:numId="257">
    <w:abstractNumId w:val="36"/>
  </w:num>
  <w:num w:numId="264">
    <w:abstractNumId w:val="30"/>
  </w:num>
  <w:num w:numId="269">
    <w:abstractNumId w:val="24"/>
  </w:num>
  <w:num w:numId="278">
    <w:abstractNumId w:val="18"/>
  </w:num>
  <w:num w:numId="285">
    <w:abstractNumId w:val="12"/>
  </w:num>
  <w:num w:numId="290">
    <w:abstractNumId w:val="6"/>
  </w:num>
  <w:num w:numId="29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