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  <w:r w:rsidRPr="00DE500F">
        <w:rPr>
          <w:b/>
          <w:sz w:val="28"/>
          <w:szCs w:val="28"/>
          <w:lang w:val="uk-UA"/>
        </w:rPr>
        <w:t>Звіт</w:t>
      </w:r>
    </w:p>
    <w:p w:rsidR="00AD27F1" w:rsidRPr="00DA416F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  <w:r w:rsidRPr="00DA0BB9">
        <w:rPr>
          <w:b/>
          <w:sz w:val="28"/>
          <w:szCs w:val="28"/>
          <w:lang w:val="uk-UA"/>
        </w:rPr>
        <w:t xml:space="preserve">про базове відстеження результативності регуляторного </w:t>
      </w:r>
      <w:proofErr w:type="spellStart"/>
      <w:r w:rsidRPr="00DA0BB9">
        <w:rPr>
          <w:b/>
          <w:sz w:val="28"/>
          <w:szCs w:val="28"/>
          <w:lang w:val="uk-UA"/>
        </w:rPr>
        <w:t>акта</w:t>
      </w:r>
      <w:proofErr w:type="spellEnd"/>
      <w:r w:rsidRPr="00DA0BB9">
        <w:rPr>
          <w:b/>
          <w:sz w:val="28"/>
          <w:szCs w:val="28"/>
          <w:lang w:val="uk-UA"/>
        </w:rPr>
        <w:t xml:space="preserve"> – проекту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b/>
          <w:sz w:val="28"/>
          <w:szCs w:val="28"/>
          <w:lang w:val="uk-UA"/>
        </w:rPr>
        <w:t>8 рік»</w:t>
      </w:r>
    </w:p>
    <w:p w:rsidR="00AD27F1" w:rsidRPr="00A24C21" w:rsidRDefault="00AD27F1" w:rsidP="00AD27F1">
      <w:pPr>
        <w:numPr>
          <w:ilvl w:val="0"/>
          <w:numId w:val="1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>В</w:t>
      </w:r>
      <w:r w:rsidRPr="00A24C21">
        <w:rPr>
          <w:b/>
          <w:sz w:val="24"/>
          <w:szCs w:val="24"/>
        </w:rPr>
        <w:t xml:space="preserve">ид та </w:t>
      </w:r>
      <w:proofErr w:type="spellStart"/>
      <w:r w:rsidRPr="00A24C21">
        <w:rPr>
          <w:b/>
          <w:sz w:val="24"/>
          <w:szCs w:val="24"/>
        </w:rPr>
        <w:t>назва</w:t>
      </w:r>
      <w:proofErr w:type="spellEnd"/>
      <w:r w:rsidRPr="00A24C21">
        <w:rPr>
          <w:b/>
          <w:sz w:val="24"/>
          <w:szCs w:val="24"/>
        </w:rPr>
        <w:t xml:space="preserve"> регуляторного акта:</w:t>
      </w:r>
    </w:p>
    <w:p w:rsidR="00AD27F1" w:rsidRPr="00A24C21" w:rsidRDefault="00AD27F1" w:rsidP="00AD27F1">
      <w:pPr>
        <w:tabs>
          <w:tab w:val="left" w:pos="945"/>
        </w:tabs>
        <w:ind w:left="60"/>
        <w:rPr>
          <w:b/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>Проект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рік»</w:t>
      </w:r>
    </w:p>
    <w:p w:rsidR="00AD27F1" w:rsidRPr="00A24C21" w:rsidRDefault="00AD27F1" w:rsidP="00AD27F1">
      <w:pPr>
        <w:numPr>
          <w:ilvl w:val="0"/>
          <w:numId w:val="1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Виконавець заходів з відстеження: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>Відділ економіки, інвестицій та комунального майна апарату виконавчого комітету Дунаєвецької міської  ради.</w:t>
      </w:r>
    </w:p>
    <w:p w:rsidR="00AD27F1" w:rsidRPr="00A24C21" w:rsidRDefault="00AD27F1" w:rsidP="00AD27F1">
      <w:pPr>
        <w:numPr>
          <w:ilvl w:val="0"/>
          <w:numId w:val="1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Цілі прийняття </w:t>
      </w:r>
      <w:proofErr w:type="spellStart"/>
      <w:r w:rsidRPr="00A24C21">
        <w:rPr>
          <w:b/>
          <w:sz w:val="24"/>
          <w:szCs w:val="24"/>
          <w:lang w:val="uk-UA"/>
        </w:rPr>
        <w:t>акта</w:t>
      </w:r>
      <w:proofErr w:type="spellEnd"/>
      <w:r w:rsidRPr="00A24C21">
        <w:rPr>
          <w:b/>
          <w:sz w:val="24"/>
          <w:szCs w:val="24"/>
          <w:lang w:val="uk-UA"/>
        </w:rPr>
        <w:t xml:space="preserve">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>Проект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рік»</w:t>
      </w:r>
      <w:r w:rsidRPr="00A24C21">
        <w:rPr>
          <w:b/>
          <w:sz w:val="24"/>
          <w:szCs w:val="24"/>
          <w:lang w:val="uk-UA"/>
        </w:rPr>
        <w:t xml:space="preserve"> </w:t>
      </w:r>
      <w:r w:rsidRPr="00A24C21">
        <w:rPr>
          <w:sz w:val="24"/>
          <w:szCs w:val="24"/>
          <w:lang w:val="uk-UA"/>
        </w:rPr>
        <w:t xml:space="preserve"> розроблено з ціллю: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виконання вимог Податкового кодексу України;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встановлення оптимальних розмірів місцевих податків і зборів;</w:t>
      </w:r>
      <w:bookmarkStart w:id="0" w:name="_GoBack"/>
      <w:bookmarkEnd w:id="0"/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забезпечення повноти сплати місцевих податків і зборів до міського бюджету. </w:t>
      </w:r>
    </w:p>
    <w:p w:rsidR="00AD27F1" w:rsidRPr="00A24C21" w:rsidRDefault="00AD27F1" w:rsidP="00AD27F1">
      <w:pPr>
        <w:numPr>
          <w:ilvl w:val="0"/>
          <w:numId w:val="1"/>
        </w:numPr>
        <w:tabs>
          <w:tab w:val="left" w:pos="945"/>
        </w:tabs>
        <w:rPr>
          <w:b/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>Строк виконання заходів з відстеження: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</w:p>
    <w:p w:rsidR="00AD27F1" w:rsidRPr="00A24C21" w:rsidRDefault="00AD27F1" w:rsidP="00AD27F1">
      <w:pPr>
        <w:numPr>
          <w:ilvl w:val="0"/>
          <w:numId w:val="1"/>
        </w:num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Тип відстеження: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Базове відстеження </w:t>
      </w:r>
    </w:p>
    <w:p w:rsidR="00AD27F1" w:rsidRPr="00A24C21" w:rsidRDefault="00AD27F1" w:rsidP="00AD27F1">
      <w:pPr>
        <w:numPr>
          <w:ilvl w:val="0"/>
          <w:numId w:val="1"/>
        </w:num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Метод одержання результатів відстеження: </w:t>
      </w:r>
    </w:p>
    <w:p w:rsidR="00AD27F1" w:rsidRPr="00BD777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Для проведення базового відстеження використовувався статистичний метод. </w:t>
      </w:r>
      <w:r w:rsidRPr="00BD7771">
        <w:rPr>
          <w:sz w:val="24"/>
          <w:szCs w:val="24"/>
          <w:lang w:val="uk-UA"/>
        </w:rPr>
        <w:t xml:space="preserve">Відстеження результативності регуляторного </w:t>
      </w:r>
      <w:proofErr w:type="spellStart"/>
      <w:r w:rsidRPr="00BD7771">
        <w:rPr>
          <w:sz w:val="24"/>
          <w:szCs w:val="24"/>
          <w:lang w:val="uk-UA"/>
        </w:rPr>
        <w:t>акта</w:t>
      </w:r>
      <w:proofErr w:type="spellEnd"/>
      <w:r w:rsidRPr="00BD7771">
        <w:rPr>
          <w:sz w:val="24"/>
          <w:szCs w:val="24"/>
          <w:lang w:val="uk-UA"/>
        </w:rPr>
        <w:t xml:space="preserve"> проведено відповідно фактичних надходжень до </w:t>
      </w:r>
      <w:r>
        <w:rPr>
          <w:sz w:val="24"/>
          <w:szCs w:val="24"/>
          <w:lang w:val="uk-UA"/>
        </w:rPr>
        <w:t xml:space="preserve">міського </w:t>
      </w:r>
      <w:r w:rsidRPr="00BD7771">
        <w:rPr>
          <w:sz w:val="24"/>
          <w:szCs w:val="24"/>
          <w:lang w:val="uk-UA"/>
        </w:rPr>
        <w:t>бюджету від суб’єктів господарювання, які сплачують місцеві податки і збори.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     </w:t>
      </w:r>
      <w:r w:rsidRPr="00A24C21">
        <w:rPr>
          <w:b/>
          <w:sz w:val="24"/>
          <w:szCs w:val="24"/>
          <w:lang w:val="uk-UA"/>
        </w:rPr>
        <w:t>7. Дані та припущення, на основі яких відстежувалася результативність, а також способи одержання даних: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Враховуючи цілі регулювання, для відстеження результативності регуляторного </w:t>
      </w:r>
      <w:proofErr w:type="spellStart"/>
      <w:r w:rsidRPr="00A24C21">
        <w:rPr>
          <w:sz w:val="24"/>
          <w:szCs w:val="24"/>
          <w:lang w:val="uk-UA"/>
        </w:rPr>
        <w:t>акта</w:t>
      </w:r>
      <w:proofErr w:type="spellEnd"/>
      <w:r w:rsidRPr="00A24C21">
        <w:rPr>
          <w:sz w:val="24"/>
          <w:szCs w:val="24"/>
          <w:lang w:val="uk-UA"/>
        </w:rPr>
        <w:t xml:space="preserve"> були визначені такі показники результативності: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 - обсяг надходжень місцевих податків та зборів до </w:t>
      </w:r>
      <w:proofErr w:type="spellStart"/>
      <w:r w:rsidRPr="00A24C21">
        <w:rPr>
          <w:sz w:val="24"/>
          <w:szCs w:val="24"/>
        </w:rPr>
        <w:t>міського</w:t>
      </w:r>
      <w:proofErr w:type="spellEnd"/>
      <w:r w:rsidRPr="00A24C21">
        <w:rPr>
          <w:sz w:val="24"/>
          <w:szCs w:val="24"/>
        </w:rPr>
        <w:t xml:space="preserve"> бюджету</w:t>
      </w:r>
      <w:r w:rsidRPr="00A24C21">
        <w:rPr>
          <w:sz w:val="24"/>
          <w:szCs w:val="24"/>
          <w:lang w:val="uk-UA"/>
        </w:rPr>
        <w:t xml:space="preserve">;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 xml:space="preserve">- рівень поінформованості суб’єктів господарювання – платників місцевих податків і зборів.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</w:t>
      </w:r>
      <w:r w:rsidRPr="00A24C21">
        <w:rPr>
          <w:b/>
          <w:sz w:val="24"/>
          <w:szCs w:val="24"/>
          <w:lang w:val="uk-UA"/>
        </w:rPr>
        <w:t>8. Кількісні та якісні значення показників результативності:</w:t>
      </w:r>
      <w:r w:rsidRPr="00A24C21">
        <w:rPr>
          <w:sz w:val="24"/>
          <w:szCs w:val="24"/>
          <w:lang w:val="uk-UA"/>
        </w:rPr>
        <w:t xml:space="preserve"> </w:t>
      </w:r>
    </w:p>
    <w:tbl>
      <w:tblPr>
        <w:tblW w:w="908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1559"/>
        <w:gridCol w:w="1560"/>
        <w:gridCol w:w="1842"/>
      </w:tblGrid>
      <w:tr w:rsidR="00AD27F1" w:rsidRPr="00A24C21" w:rsidTr="00620607">
        <w:trPr>
          <w:trHeight w:val="540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  <w:rPr>
                <w:b/>
              </w:rPr>
            </w:pPr>
            <w:r w:rsidRPr="00A24C21">
              <w:rPr>
                <w:b/>
              </w:rPr>
              <w:t>Показники результативності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Обсяг надходжень за</w:t>
            </w:r>
            <w:r>
              <w:rPr>
                <w:b/>
              </w:rPr>
              <w:t xml:space="preserve"> 1 квартал</w:t>
            </w:r>
            <w:r w:rsidRPr="00A24C21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A24C21">
              <w:rPr>
                <w:b/>
              </w:rPr>
              <w:t xml:space="preserve"> р</w:t>
            </w:r>
            <w:r>
              <w:rPr>
                <w:b/>
              </w:rPr>
              <w:t>оку</w:t>
            </w:r>
            <w:r w:rsidRPr="00A24C21">
              <w:rPr>
                <w:b/>
              </w:rPr>
              <w:t xml:space="preserve">, </w:t>
            </w:r>
            <w:proofErr w:type="spellStart"/>
            <w:r w:rsidRPr="00A24C21">
              <w:rPr>
                <w:b/>
              </w:rPr>
              <w:t>тис.грн</w:t>
            </w:r>
            <w:proofErr w:type="spellEnd"/>
            <w:r w:rsidRPr="00A24C21">
              <w:rPr>
                <w:b/>
              </w:rPr>
              <w:t>.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 xml:space="preserve">Обсяг надходжень за </w:t>
            </w:r>
            <w:r w:rsidRPr="001C7BB8">
              <w:rPr>
                <w:b/>
              </w:rPr>
              <w:t xml:space="preserve">1 квартал </w:t>
            </w:r>
            <w:r w:rsidRPr="00A24C21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A24C21">
              <w:rPr>
                <w:b/>
              </w:rPr>
              <w:t xml:space="preserve"> р</w:t>
            </w:r>
            <w:r>
              <w:rPr>
                <w:b/>
              </w:rPr>
              <w:t>оку</w:t>
            </w:r>
            <w:r w:rsidRPr="00A24C21">
              <w:rPr>
                <w:b/>
              </w:rPr>
              <w:t xml:space="preserve">, </w:t>
            </w:r>
            <w:proofErr w:type="spellStart"/>
            <w:r w:rsidRPr="00A24C21">
              <w:rPr>
                <w:b/>
              </w:rPr>
              <w:t>тис.грн</w:t>
            </w:r>
            <w:proofErr w:type="spellEnd"/>
            <w:r w:rsidRPr="00A24C21">
              <w:rPr>
                <w:b/>
              </w:rPr>
              <w:t>.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Відхилення,</w:t>
            </w:r>
          </w:p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r w:rsidRPr="00A24C21">
              <w:rPr>
                <w:b/>
              </w:rPr>
              <w:t>+,-</w:t>
            </w:r>
          </w:p>
          <w:p w:rsidR="00AD27F1" w:rsidRPr="00A24C21" w:rsidRDefault="00AD27F1" w:rsidP="00620607">
            <w:pPr>
              <w:pStyle w:val="a5"/>
              <w:jc w:val="center"/>
              <w:rPr>
                <w:b/>
              </w:rPr>
            </w:pPr>
            <w:proofErr w:type="spellStart"/>
            <w:r w:rsidRPr="00A24C21">
              <w:rPr>
                <w:b/>
              </w:rPr>
              <w:t>тис.грн</w:t>
            </w:r>
            <w:proofErr w:type="spellEnd"/>
            <w:r w:rsidRPr="00A24C21">
              <w:rPr>
                <w:b/>
              </w:rPr>
              <w:t>.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r w:rsidRPr="00A24C21">
              <w:t>Місцеві податки і збори, всього: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3473,9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5355,1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+ 1881,20</w:t>
            </w:r>
          </w:p>
        </w:tc>
      </w:tr>
      <w:tr w:rsidR="00AD27F1" w:rsidRPr="00A24C21" w:rsidTr="00620607">
        <w:trPr>
          <w:trHeight w:val="180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</w:pPr>
            <w:r w:rsidRPr="00A24C21">
              <w:t>Податок на нерухоме майно, відмінне від земельної ділянки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87,5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98,2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+ 10,70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proofErr w:type="spellStart"/>
            <w:r w:rsidRPr="00A24C21">
              <w:rPr>
                <w:lang w:val="ru-RU"/>
              </w:rPr>
              <w:t>Податок</w:t>
            </w:r>
            <w:proofErr w:type="spellEnd"/>
            <w:r w:rsidRPr="00A24C21">
              <w:rPr>
                <w:lang w:val="ru-RU"/>
              </w:rPr>
              <w:t xml:space="preserve"> на </w:t>
            </w:r>
            <w:proofErr w:type="spellStart"/>
            <w:r w:rsidRPr="00A24C21">
              <w:rPr>
                <w:lang w:val="ru-RU"/>
              </w:rPr>
              <w:t>майно</w:t>
            </w:r>
            <w:proofErr w:type="spellEnd"/>
            <w:r w:rsidRPr="00A24C21">
              <w:rPr>
                <w:lang w:val="ru-RU"/>
              </w:rPr>
              <w:t xml:space="preserve">, в </w:t>
            </w:r>
            <w:proofErr w:type="spellStart"/>
            <w:r w:rsidRPr="00A24C21">
              <w:rPr>
                <w:lang w:val="ru-RU"/>
              </w:rPr>
              <w:t>частині</w:t>
            </w:r>
            <w:proofErr w:type="spellEnd"/>
            <w:r w:rsidRPr="00A24C21">
              <w:rPr>
                <w:lang w:val="ru-RU"/>
              </w:rPr>
              <w:t xml:space="preserve"> транспортного </w:t>
            </w:r>
            <w:proofErr w:type="spellStart"/>
            <w:r w:rsidRPr="00A24C21">
              <w:rPr>
                <w:lang w:val="ru-RU"/>
              </w:rPr>
              <w:t>податку</w:t>
            </w:r>
            <w:proofErr w:type="spellEnd"/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2,1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ind w:left="720"/>
            </w:pPr>
            <w:r>
              <w:t>-2,1</w:t>
            </w:r>
          </w:p>
        </w:tc>
      </w:tr>
      <w:tr w:rsidR="00AD27F1" w:rsidRPr="00A24C21" w:rsidTr="00620607">
        <w:trPr>
          <w:trHeight w:val="180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  <w:rPr>
                <w:color w:val="FF0000"/>
              </w:rPr>
            </w:pPr>
            <w:proofErr w:type="spellStart"/>
            <w:r w:rsidRPr="00A24C21">
              <w:rPr>
                <w:lang w:val="ru-RU"/>
              </w:rPr>
              <w:t>Податок</w:t>
            </w:r>
            <w:proofErr w:type="spellEnd"/>
            <w:r w:rsidRPr="00A24C21">
              <w:rPr>
                <w:lang w:val="ru-RU"/>
              </w:rPr>
              <w:t xml:space="preserve"> на землю</w:t>
            </w:r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1552,0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1696,9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+ 144,90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proofErr w:type="spellStart"/>
            <w:r w:rsidRPr="00A24C21">
              <w:rPr>
                <w:lang w:val="ru-RU"/>
              </w:rPr>
              <w:t>Єдиний</w:t>
            </w:r>
            <w:proofErr w:type="spellEnd"/>
            <w:r w:rsidRPr="00A24C21">
              <w:rPr>
                <w:lang w:val="ru-RU"/>
              </w:rPr>
              <w:t xml:space="preserve"> </w:t>
            </w:r>
            <w:proofErr w:type="spellStart"/>
            <w:r w:rsidRPr="00A24C21">
              <w:rPr>
                <w:lang w:val="ru-RU"/>
              </w:rPr>
              <w:t>податок</w:t>
            </w:r>
            <w:proofErr w:type="spellEnd"/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1830,6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3558,6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+ 1728,0</w:t>
            </w:r>
          </w:p>
        </w:tc>
      </w:tr>
      <w:tr w:rsidR="00AD27F1" w:rsidRPr="00A24C21" w:rsidTr="00620607">
        <w:trPr>
          <w:trHeight w:val="168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proofErr w:type="spellStart"/>
            <w:r w:rsidRPr="00A24C21">
              <w:rPr>
                <w:lang w:val="ru-RU"/>
              </w:rPr>
              <w:t>Туристичний</w:t>
            </w:r>
            <w:proofErr w:type="spellEnd"/>
            <w:r w:rsidRPr="00A24C21">
              <w:rPr>
                <w:lang w:val="ru-RU"/>
              </w:rPr>
              <w:t xml:space="preserve"> </w:t>
            </w:r>
            <w:proofErr w:type="spellStart"/>
            <w:r w:rsidRPr="00A24C21">
              <w:rPr>
                <w:lang w:val="ru-RU"/>
              </w:rPr>
              <w:t>збір</w:t>
            </w:r>
            <w:proofErr w:type="spellEnd"/>
          </w:p>
        </w:tc>
        <w:tc>
          <w:tcPr>
            <w:tcW w:w="1559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1,7</w:t>
            </w:r>
          </w:p>
        </w:tc>
        <w:tc>
          <w:tcPr>
            <w:tcW w:w="1560" w:type="dxa"/>
            <w:vAlign w:val="center"/>
          </w:tcPr>
          <w:p w:rsidR="00AD27F1" w:rsidRPr="00A24C21" w:rsidRDefault="00AD27F1" w:rsidP="00620607">
            <w:pPr>
              <w:pStyle w:val="a5"/>
              <w:jc w:val="center"/>
            </w:pPr>
            <w:r>
              <w:t>1,4</w:t>
            </w:r>
          </w:p>
        </w:tc>
        <w:tc>
          <w:tcPr>
            <w:tcW w:w="1842" w:type="dxa"/>
            <w:vAlign w:val="center"/>
          </w:tcPr>
          <w:p w:rsidR="00AD27F1" w:rsidRPr="00A24C21" w:rsidRDefault="00AD27F1" w:rsidP="00AD27F1">
            <w:pPr>
              <w:pStyle w:val="a5"/>
              <w:numPr>
                <w:ilvl w:val="0"/>
                <w:numId w:val="2"/>
              </w:numPr>
            </w:pPr>
            <w:r>
              <w:t>0,3</w:t>
            </w:r>
          </w:p>
        </w:tc>
      </w:tr>
      <w:tr w:rsidR="00AD27F1" w:rsidRPr="00BE7AB3" w:rsidTr="00620607">
        <w:trPr>
          <w:trHeight w:val="274"/>
          <w:tblCellSpacing w:w="0" w:type="dxa"/>
        </w:trPr>
        <w:tc>
          <w:tcPr>
            <w:tcW w:w="4121" w:type="dxa"/>
            <w:vAlign w:val="center"/>
          </w:tcPr>
          <w:p w:rsidR="00AD27F1" w:rsidRPr="00A24C21" w:rsidRDefault="00AD27F1" w:rsidP="00620607">
            <w:pPr>
              <w:pStyle w:val="a5"/>
              <w:jc w:val="both"/>
            </w:pPr>
            <w:r w:rsidRPr="00A24C21">
              <w:t>Рівень поінформованості суб’єктів господарювання – платників місцевих податків і зборів</w:t>
            </w:r>
          </w:p>
        </w:tc>
        <w:tc>
          <w:tcPr>
            <w:tcW w:w="4961" w:type="dxa"/>
            <w:gridSpan w:val="3"/>
            <w:vAlign w:val="center"/>
          </w:tcPr>
          <w:p w:rsidR="00AD27F1" w:rsidRPr="00DA416F" w:rsidRDefault="00AD27F1" w:rsidP="00620607">
            <w:pPr>
              <w:pStyle w:val="a5"/>
              <w:jc w:val="both"/>
            </w:pPr>
            <w:r w:rsidRPr="00A24C21">
              <w:t>Рішення про встановлення місцевих податків і зборів, зміни до розмірів (ставок) місцевих податків і зборів оприлюднювались на сайті Дунаєвецької міської  ради  у визначені терміни</w:t>
            </w:r>
          </w:p>
        </w:tc>
      </w:tr>
    </w:tbl>
    <w:p w:rsidR="00AD27F1" w:rsidRPr="00A24C21" w:rsidRDefault="00AD27F1" w:rsidP="00AD27F1">
      <w:pPr>
        <w:tabs>
          <w:tab w:val="left" w:pos="945"/>
        </w:tabs>
        <w:rPr>
          <w:b/>
          <w:sz w:val="24"/>
          <w:szCs w:val="24"/>
          <w:lang w:val="uk-UA"/>
        </w:rPr>
      </w:pP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b/>
          <w:sz w:val="24"/>
          <w:szCs w:val="24"/>
          <w:lang w:val="uk-UA"/>
        </w:rPr>
        <w:t xml:space="preserve">9. Оцінка результатів реалізації регуляторного </w:t>
      </w:r>
      <w:proofErr w:type="spellStart"/>
      <w:r w:rsidRPr="00A24C21">
        <w:rPr>
          <w:b/>
          <w:sz w:val="24"/>
          <w:szCs w:val="24"/>
          <w:lang w:val="uk-UA"/>
        </w:rPr>
        <w:t>акта</w:t>
      </w:r>
      <w:proofErr w:type="spellEnd"/>
      <w:r w:rsidRPr="00A24C21">
        <w:rPr>
          <w:b/>
          <w:sz w:val="24"/>
          <w:szCs w:val="24"/>
          <w:lang w:val="uk-UA"/>
        </w:rPr>
        <w:t xml:space="preserve"> та ступеня досягнення визначених цілей:</w:t>
      </w:r>
      <w:r w:rsidRPr="00A24C21">
        <w:rPr>
          <w:sz w:val="24"/>
          <w:szCs w:val="24"/>
          <w:lang w:val="uk-UA"/>
        </w:rPr>
        <w:t xml:space="preserve">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ab/>
        <w:t xml:space="preserve">За результатами аналізу надходжень місцевих податків і зборів можна зробити висновок, що загалом спостерігається збільшення таких надходжень. </w:t>
      </w:r>
      <w:proofErr w:type="spellStart"/>
      <w:r w:rsidRPr="00A24C21">
        <w:rPr>
          <w:sz w:val="24"/>
          <w:szCs w:val="24"/>
        </w:rPr>
        <w:t>Прийняття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даного</w:t>
      </w:r>
      <w:proofErr w:type="spellEnd"/>
      <w:r w:rsidRPr="00A24C21">
        <w:rPr>
          <w:sz w:val="24"/>
          <w:szCs w:val="24"/>
        </w:rPr>
        <w:t xml:space="preserve"> </w:t>
      </w:r>
      <w:r w:rsidRPr="00A24C21">
        <w:rPr>
          <w:sz w:val="24"/>
          <w:szCs w:val="24"/>
        </w:rPr>
        <w:lastRenderedPageBreak/>
        <w:t xml:space="preserve">регуляторного акта </w:t>
      </w:r>
      <w:proofErr w:type="spellStart"/>
      <w:r w:rsidRPr="00A24C21">
        <w:rPr>
          <w:sz w:val="24"/>
          <w:szCs w:val="24"/>
        </w:rPr>
        <w:t>дасть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можливість</w:t>
      </w:r>
      <w:proofErr w:type="spellEnd"/>
      <w:r w:rsidRPr="00A24C21">
        <w:rPr>
          <w:sz w:val="24"/>
          <w:szCs w:val="24"/>
        </w:rPr>
        <w:t xml:space="preserve"> привести </w:t>
      </w:r>
      <w:proofErr w:type="spellStart"/>
      <w:r w:rsidRPr="00A24C21">
        <w:rPr>
          <w:sz w:val="24"/>
          <w:szCs w:val="24"/>
        </w:rPr>
        <w:t>регулювання</w:t>
      </w:r>
      <w:proofErr w:type="spellEnd"/>
      <w:r w:rsidRPr="00A24C21">
        <w:rPr>
          <w:sz w:val="24"/>
          <w:szCs w:val="24"/>
        </w:rPr>
        <w:t xml:space="preserve"> у </w:t>
      </w:r>
      <w:proofErr w:type="spellStart"/>
      <w:r w:rsidRPr="00A24C21">
        <w:rPr>
          <w:sz w:val="24"/>
          <w:szCs w:val="24"/>
        </w:rPr>
        <w:t>відповідність</w:t>
      </w:r>
      <w:proofErr w:type="spellEnd"/>
      <w:r w:rsidRPr="00A24C21">
        <w:rPr>
          <w:sz w:val="24"/>
          <w:szCs w:val="24"/>
        </w:rPr>
        <w:t xml:space="preserve"> з </w:t>
      </w:r>
      <w:proofErr w:type="spellStart"/>
      <w:r w:rsidRPr="00A24C21">
        <w:rPr>
          <w:sz w:val="24"/>
          <w:szCs w:val="24"/>
        </w:rPr>
        <w:t>Податковим</w:t>
      </w:r>
      <w:proofErr w:type="spellEnd"/>
      <w:r w:rsidRPr="00A24C21">
        <w:rPr>
          <w:sz w:val="24"/>
          <w:szCs w:val="24"/>
        </w:rPr>
        <w:t xml:space="preserve"> кодексом </w:t>
      </w:r>
      <w:proofErr w:type="spellStart"/>
      <w:r w:rsidRPr="00A24C21">
        <w:rPr>
          <w:sz w:val="24"/>
          <w:szCs w:val="24"/>
        </w:rPr>
        <w:t>України</w:t>
      </w:r>
      <w:proofErr w:type="spellEnd"/>
      <w:r w:rsidRPr="00A24C21">
        <w:rPr>
          <w:sz w:val="24"/>
          <w:szCs w:val="24"/>
        </w:rPr>
        <w:t xml:space="preserve">.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A24C21">
        <w:rPr>
          <w:sz w:val="24"/>
          <w:szCs w:val="24"/>
          <w:lang w:val="uk-UA"/>
        </w:rPr>
        <w:tab/>
        <w:t xml:space="preserve">Показником результативності даного регуляторного </w:t>
      </w:r>
      <w:proofErr w:type="spellStart"/>
      <w:r w:rsidRPr="00A24C21">
        <w:rPr>
          <w:sz w:val="24"/>
          <w:szCs w:val="24"/>
          <w:lang w:val="uk-UA"/>
        </w:rPr>
        <w:t>акта</w:t>
      </w:r>
      <w:proofErr w:type="spellEnd"/>
      <w:r w:rsidRPr="00A24C21">
        <w:rPr>
          <w:sz w:val="24"/>
          <w:szCs w:val="24"/>
          <w:lang w:val="uk-UA"/>
        </w:rPr>
        <w:t xml:space="preserve"> - проекту рішення Дунаєвецької міської ради «Про встановлення місцевих податків і зборів на території Дунаєвецької міської ради на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рік» стане збільшення надходжень місцевих податків і зборів до бюджету громади у 201</w:t>
      </w:r>
      <w:r>
        <w:rPr>
          <w:sz w:val="24"/>
          <w:szCs w:val="24"/>
          <w:lang w:val="uk-UA"/>
        </w:rPr>
        <w:t>8</w:t>
      </w:r>
      <w:r w:rsidRPr="00A24C21">
        <w:rPr>
          <w:sz w:val="24"/>
          <w:szCs w:val="24"/>
          <w:lang w:val="uk-UA"/>
        </w:rPr>
        <w:t xml:space="preserve"> році. </w:t>
      </w:r>
    </w:p>
    <w:p w:rsidR="00AD27F1" w:rsidRPr="00A24C21" w:rsidRDefault="00AD27F1" w:rsidP="00AD27F1">
      <w:pPr>
        <w:tabs>
          <w:tab w:val="left" w:pos="945"/>
        </w:tabs>
        <w:rPr>
          <w:sz w:val="24"/>
          <w:szCs w:val="24"/>
          <w:lang w:val="uk-UA"/>
        </w:rPr>
      </w:pPr>
      <w:r w:rsidRPr="00DE500F">
        <w:rPr>
          <w:sz w:val="24"/>
          <w:szCs w:val="24"/>
          <w:lang w:val="uk-UA"/>
        </w:rPr>
        <w:tab/>
      </w:r>
      <w:proofErr w:type="spellStart"/>
      <w:r w:rsidRPr="00A24C21">
        <w:rPr>
          <w:sz w:val="24"/>
          <w:szCs w:val="24"/>
        </w:rPr>
        <w:t>Прийняття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даного</w:t>
      </w:r>
      <w:proofErr w:type="spellEnd"/>
      <w:r w:rsidRPr="00A24C21">
        <w:rPr>
          <w:sz w:val="24"/>
          <w:szCs w:val="24"/>
        </w:rPr>
        <w:t xml:space="preserve"> регуляторного акта</w:t>
      </w:r>
      <w:r w:rsidRPr="00A24C2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A24C21">
        <w:rPr>
          <w:sz w:val="24"/>
          <w:szCs w:val="24"/>
        </w:rPr>
        <w:t>забезпечить</w:t>
      </w:r>
      <w:proofErr w:type="spellEnd"/>
      <w:r w:rsidRPr="00A24C21">
        <w:rPr>
          <w:sz w:val="24"/>
          <w:szCs w:val="24"/>
          <w:lang w:val="uk-UA"/>
        </w:rPr>
        <w:t xml:space="preserve"> </w:t>
      </w:r>
      <w:proofErr w:type="spellStart"/>
      <w:r w:rsidRPr="00A24C21">
        <w:rPr>
          <w:sz w:val="24"/>
          <w:szCs w:val="24"/>
        </w:rPr>
        <w:t>поповнення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дохідної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частини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міського</w:t>
      </w:r>
      <w:proofErr w:type="spellEnd"/>
      <w:r w:rsidRPr="00A24C21">
        <w:rPr>
          <w:sz w:val="24"/>
          <w:szCs w:val="24"/>
        </w:rPr>
        <w:t xml:space="preserve"> бюджету, </w:t>
      </w:r>
      <w:proofErr w:type="spellStart"/>
      <w:r w:rsidRPr="00A24C21">
        <w:rPr>
          <w:sz w:val="24"/>
          <w:szCs w:val="24"/>
        </w:rPr>
        <w:t>виконання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міських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Програм</w:t>
      </w:r>
      <w:proofErr w:type="spellEnd"/>
      <w:r w:rsidRPr="00A24C21">
        <w:rPr>
          <w:sz w:val="24"/>
          <w:szCs w:val="24"/>
        </w:rPr>
        <w:t xml:space="preserve"> </w:t>
      </w:r>
      <w:proofErr w:type="spellStart"/>
      <w:r w:rsidRPr="00A24C21">
        <w:rPr>
          <w:sz w:val="24"/>
          <w:szCs w:val="24"/>
        </w:rPr>
        <w:t>розвитку</w:t>
      </w:r>
      <w:proofErr w:type="spellEnd"/>
      <w:r w:rsidRPr="00A24C21">
        <w:rPr>
          <w:sz w:val="24"/>
          <w:szCs w:val="24"/>
          <w:lang w:val="uk-UA"/>
        </w:rPr>
        <w:t>.</w:t>
      </w:r>
    </w:p>
    <w:p w:rsidR="00AD27F1" w:rsidRPr="006E143E" w:rsidRDefault="00AD27F1" w:rsidP="00AD27F1">
      <w:pPr>
        <w:rPr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Островський</w:t>
      </w: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p w:rsidR="00AD27F1" w:rsidRDefault="00AD27F1" w:rsidP="00AD27F1">
      <w:pPr>
        <w:tabs>
          <w:tab w:val="left" w:pos="945"/>
        </w:tabs>
        <w:jc w:val="center"/>
        <w:rPr>
          <w:b/>
          <w:sz w:val="28"/>
          <w:szCs w:val="28"/>
          <w:lang w:val="uk-UA"/>
        </w:rPr>
      </w:pPr>
    </w:p>
    <w:sectPr w:rsidR="00AD27F1" w:rsidSect="00B277C8">
      <w:footerReference w:type="default" r:id="rId7"/>
      <w:pgSz w:w="11906" w:h="16838"/>
      <w:pgMar w:top="567" w:right="849" w:bottom="568" w:left="1276" w:header="708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7AB3">
      <w:r>
        <w:separator/>
      </w:r>
    </w:p>
  </w:endnote>
  <w:endnote w:type="continuationSeparator" w:id="0">
    <w:p w:rsidR="00000000" w:rsidRDefault="00BE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FF" w:rsidRDefault="00AD27F1">
    <w:pPr>
      <w:pStyle w:val="a3"/>
      <w:ind w:right="360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1FF" w:rsidRDefault="00BE7AB3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61.9pt;margin-top:.05pt;width:4.9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" stroked="f">
              <v:textbox inset="0,0,0,0">
                <w:txbxContent>
                  <w:p w:rsidR="009031FF" w:rsidRDefault="00AD27F1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9031FF" w:rsidRDefault="00BE7A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7AB3">
      <w:r>
        <w:separator/>
      </w:r>
    </w:p>
  </w:footnote>
  <w:footnote w:type="continuationSeparator" w:id="0">
    <w:p w:rsidR="00000000" w:rsidRDefault="00BE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1958"/>
    <w:multiLevelType w:val="hybridMultilevel"/>
    <w:tmpl w:val="8C843A74"/>
    <w:lvl w:ilvl="0" w:tplc="DF9CE8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B226C"/>
    <w:multiLevelType w:val="hybridMultilevel"/>
    <w:tmpl w:val="424CCA00"/>
    <w:lvl w:ilvl="0" w:tplc="1B8E8D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3E197C"/>
    <w:multiLevelType w:val="hybridMultilevel"/>
    <w:tmpl w:val="F0E62C34"/>
    <w:lvl w:ilvl="0" w:tplc="208E466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1"/>
    <w:rsid w:val="009C0F67"/>
    <w:rsid w:val="00AD27F1"/>
    <w:rsid w:val="00B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CC6205-1394-4CC9-8FB9-66D5527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7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27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AD27F1"/>
    <w:pPr>
      <w:suppressAutoHyphens w:val="0"/>
      <w:spacing w:before="100" w:beforeAutospacing="1" w:after="100" w:afterAutospacing="1"/>
      <w:jc w:val="left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2018-07-23T06:12:00Z</dcterms:created>
  <dcterms:modified xsi:type="dcterms:W3CDTF">2018-07-23T06:14:00Z</dcterms:modified>
</cp:coreProperties>
</file>